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rels" ContentType="application/vnd.openxmlformats-package.relationships+xml"/>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2067AB" w14:textId="77777777" w:rsidR="00DD7C1B" w:rsidRPr="00EF5E00" w:rsidRDefault="00DD7C1B" w:rsidP="00DD7C1B">
      <w:pPr>
        <w:tabs>
          <w:tab w:val="left" w:pos="9900"/>
        </w:tabs>
        <w:suppressAutoHyphens/>
        <w:spacing w:line="360" w:lineRule="auto"/>
        <w:jc w:val="center"/>
        <w:rPr>
          <w:rFonts w:eastAsia="Calibri" w:cs="Times New Roman"/>
          <w:b/>
          <w:sz w:val="28"/>
          <w:szCs w:val="28"/>
          <w:lang w:eastAsia="en-US"/>
        </w:rPr>
      </w:pPr>
      <w:r w:rsidRPr="00EF5E00">
        <w:rPr>
          <w:rFonts w:eastAsia="Calibri" w:cs="Times New Roman"/>
          <w:b/>
          <w:sz w:val="28"/>
          <w:szCs w:val="28"/>
          <w:lang w:eastAsia="en-US"/>
        </w:rPr>
        <w:t>1 Правовая экспертиза объектов недвижимости</w:t>
      </w:r>
    </w:p>
    <w:p w14:paraId="1A360ABA" w14:textId="77777777" w:rsidR="00EF5E00" w:rsidRPr="00EF5E00" w:rsidRDefault="00EF5E00" w:rsidP="00EF5E00">
      <w:pPr>
        <w:tabs>
          <w:tab w:val="left" w:pos="9900"/>
        </w:tabs>
        <w:spacing w:line="360" w:lineRule="auto"/>
        <w:ind w:right="-284" w:firstLine="567"/>
        <w:jc w:val="both"/>
        <w:outlineLvl w:val="0"/>
        <w:rPr>
          <w:rFonts w:eastAsia="Calibri" w:cs="Times New Roman"/>
          <w:sz w:val="28"/>
          <w:szCs w:val="28"/>
        </w:rPr>
      </w:pPr>
      <w:r w:rsidRPr="00EF5E00">
        <w:rPr>
          <w:rFonts w:eastAsia="Calibri" w:cs="Times New Roman"/>
          <w:sz w:val="28"/>
          <w:szCs w:val="28"/>
        </w:rPr>
        <w:t xml:space="preserve">Экспертиза в строительстве - это вид деятельности в технологическом цикле проектирования и строительства объекта, базирующийся на исследовании, проверке, анализе и оценке обоснования инвестиций, градостроительных и проектных решений в целях целесообразности и возможности их принятия. </w:t>
      </w:r>
    </w:p>
    <w:p w14:paraId="264641F0" w14:textId="77777777" w:rsidR="00EF5E00" w:rsidRPr="00EF5E00" w:rsidRDefault="00EF5E00" w:rsidP="00EF5E00">
      <w:pPr>
        <w:widowControl w:val="0"/>
        <w:tabs>
          <w:tab w:val="left" w:pos="1134"/>
          <w:tab w:val="left" w:pos="9900"/>
        </w:tabs>
        <w:suppressAutoHyphens/>
        <w:spacing w:line="360" w:lineRule="auto"/>
        <w:ind w:firstLine="567"/>
        <w:contextualSpacing/>
        <w:jc w:val="both"/>
        <w:rPr>
          <w:rFonts w:eastAsia="Times New Roman" w:cs="Times New Roman"/>
          <w:sz w:val="28"/>
          <w:szCs w:val="28"/>
          <w:lang w:eastAsia="ar-SA"/>
        </w:rPr>
      </w:pPr>
      <w:r w:rsidRPr="00EF5E00">
        <w:rPr>
          <w:rFonts w:eastAsia="Times New Roman" w:cs="Times New Roman"/>
          <w:sz w:val="28"/>
          <w:szCs w:val="28"/>
          <w:lang w:eastAsia="ar-SA"/>
        </w:rPr>
        <w:t>Проверяя юридическую силу правоустанавливающих документов, государственный регистратор устанавливает:</w:t>
      </w:r>
    </w:p>
    <w:p w14:paraId="705C48C9" w14:textId="77777777" w:rsidR="00EF5E00" w:rsidRPr="00EF5E00" w:rsidRDefault="00EF5E00" w:rsidP="00EF5E00">
      <w:pPr>
        <w:widowControl w:val="0"/>
        <w:tabs>
          <w:tab w:val="left" w:pos="1134"/>
          <w:tab w:val="left" w:pos="9900"/>
        </w:tabs>
        <w:suppressAutoHyphens/>
        <w:spacing w:line="360" w:lineRule="auto"/>
        <w:ind w:firstLine="567"/>
        <w:contextualSpacing/>
        <w:jc w:val="both"/>
        <w:rPr>
          <w:rFonts w:eastAsia="Times New Roman" w:cs="Times New Roman"/>
          <w:sz w:val="28"/>
          <w:szCs w:val="28"/>
          <w:lang w:eastAsia="ar-SA"/>
        </w:rPr>
      </w:pPr>
      <w:r w:rsidRPr="00EF5E00">
        <w:rPr>
          <w:rFonts w:eastAsia="Times New Roman" w:cs="Times New Roman"/>
          <w:sz w:val="28"/>
          <w:szCs w:val="28"/>
          <w:lang w:eastAsia="ar-SA"/>
        </w:rPr>
        <w:t>- соответствие их требованиям законодательства, действовавшего на момент издания и в месте издания документа, формы и содержания документа;</w:t>
      </w:r>
    </w:p>
    <w:p w14:paraId="1F61347E" w14:textId="77777777" w:rsidR="00EF5E00" w:rsidRPr="00EF5E00" w:rsidRDefault="00EF5E00" w:rsidP="00EF5E00">
      <w:pPr>
        <w:widowControl w:val="0"/>
        <w:tabs>
          <w:tab w:val="left" w:pos="1134"/>
          <w:tab w:val="left" w:pos="9900"/>
        </w:tabs>
        <w:suppressAutoHyphens/>
        <w:spacing w:line="360" w:lineRule="auto"/>
        <w:ind w:firstLine="567"/>
        <w:contextualSpacing/>
        <w:jc w:val="both"/>
        <w:rPr>
          <w:rFonts w:eastAsia="Times New Roman" w:cs="Times New Roman"/>
          <w:sz w:val="28"/>
          <w:szCs w:val="28"/>
          <w:lang w:eastAsia="ar-SA"/>
        </w:rPr>
      </w:pPr>
      <w:r w:rsidRPr="00EF5E00">
        <w:rPr>
          <w:rFonts w:eastAsia="Times New Roman" w:cs="Times New Roman"/>
          <w:sz w:val="28"/>
          <w:szCs w:val="28"/>
          <w:lang w:eastAsia="ar-SA"/>
        </w:rPr>
        <w:t>- обладал ли орган государственной власти (орган местного самоуправления) соответствующей компетенцией на издание акта, а также соблюден ли порядок издания таких актов, в том числе уполномоченное ли лицо подписало этот акт;</w:t>
      </w:r>
    </w:p>
    <w:p w14:paraId="6F2787C8" w14:textId="77777777" w:rsidR="00EF5E00" w:rsidRPr="00EF5E00" w:rsidRDefault="00EF5E00" w:rsidP="00EF5E00">
      <w:pPr>
        <w:widowControl w:val="0"/>
        <w:tabs>
          <w:tab w:val="left" w:pos="1134"/>
          <w:tab w:val="left" w:pos="9900"/>
        </w:tabs>
        <w:suppressAutoHyphens/>
        <w:spacing w:line="360" w:lineRule="auto"/>
        <w:ind w:firstLine="567"/>
        <w:contextualSpacing/>
        <w:jc w:val="both"/>
        <w:rPr>
          <w:rFonts w:eastAsia="Times New Roman" w:cs="Times New Roman"/>
          <w:sz w:val="28"/>
          <w:szCs w:val="28"/>
          <w:lang w:eastAsia="ar-SA"/>
        </w:rPr>
      </w:pPr>
      <w:r w:rsidRPr="00EF5E00">
        <w:rPr>
          <w:rFonts w:eastAsia="Times New Roman" w:cs="Times New Roman"/>
          <w:sz w:val="28"/>
          <w:szCs w:val="28"/>
          <w:lang w:eastAsia="ar-SA"/>
        </w:rPr>
        <w:t>- соответствие сведений об объекте недвижимого имущества, указанных в документах, удостоверенных организацией (органом) по учету объектов недвижимого имущества, аналогичным сведениям, указанным в правоустанавливающем документе;</w:t>
      </w:r>
    </w:p>
    <w:p w14:paraId="5A9104D5" w14:textId="77777777" w:rsidR="00EF5E00" w:rsidRPr="00EF5E00" w:rsidRDefault="00EF5E00" w:rsidP="00EF5E00">
      <w:pPr>
        <w:widowControl w:val="0"/>
        <w:tabs>
          <w:tab w:val="left" w:pos="1134"/>
          <w:tab w:val="left" w:pos="9900"/>
        </w:tabs>
        <w:suppressAutoHyphens/>
        <w:spacing w:line="360" w:lineRule="auto"/>
        <w:ind w:firstLine="567"/>
        <w:contextualSpacing/>
        <w:jc w:val="both"/>
        <w:rPr>
          <w:rFonts w:eastAsia="Times New Roman" w:cs="Times New Roman"/>
          <w:sz w:val="28"/>
          <w:szCs w:val="28"/>
          <w:lang w:eastAsia="ar-SA"/>
        </w:rPr>
      </w:pPr>
      <w:r w:rsidRPr="00EF5E00">
        <w:rPr>
          <w:rFonts w:eastAsia="Times New Roman" w:cs="Times New Roman"/>
          <w:sz w:val="28"/>
          <w:szCs w:val="28"/>
          <w:lang w:eastAsia="ar-SA"/>
        </w:rPr>
        <w:t>- наличие соответствующих прав по распоряжению объектом недвижимости у подписавшего документ лица.</w:t>
      </w:r>
    </w:p>
    <w:p w14:paraId="08733EEB" w14:textId="77777777" w:rsidR="00EF5E00" w:rsidRPr="00EF5E00" w:rsidRDefault="00EF5E00" w:rsidP="00EF5E00">
      <w:pPr>
        <w:widowControl w:val="0"/>
        <w:tabs>
          <w:tab w:val="left" w:pos="1134"/>
          <w:tab w:val="left" w:pos="9900"/>
        </w:tabs>
        <w:suppressAutoHyphens/>
        <w:spacing w:line="360" w:lineRule="auto"/>
        <w:ind w:firstLine="567"/>
        <w:contextualSpacing/>
        <w:jc w:val="both"/>
        <w:rPr>
          <w:rFonts w:eastAsia="Times New Roman" w:cs="Times New Roman"/>
          <w:sz w:val="28"/>
          <w:szCs w:val="28"/>
          <w:lang w:eastAsia="ar-SA"/>
        </w:rPr>
      </w:pPr>
      <w:r w:rsidRPr="00EF5E00">
        <w:rPr>
          <w:rFonts w:eastAsia="Times New Roman" w:cs="Times New Roman"/>
          <w:sz w:val="28"/>
          <w:szCs w:val="28"/>
          <w:lang w:eastAsia="ar-SA"/>
        </w:rPr>
        <w:t>В ходе правовой экспертизы устанавливается отсутствие противоречий между заявленными и зарегистрированными правами на данный объект недвижимого имущества, а также других оснований для отказа или приостановления государственной регистрации (п. 1 ст. 13 ФЗ «О государственной регистрации прав на недвижимое имущество и сделок с ним»).</w:t>
      </w:r>
    </w:p>
    <w:p w14:paraId="48416130" w14:textId="77777777" w:rsidR="00EF5E00" w:rsidRPr="00EF5E00" w:rsidRDefault="00EF5E00" w:rsidP="00EF5E00">
      <w:pPr>
        <w:widowControl w:val="0"/>
        <w:tabs>
          <w:tab w:val="left" w:pos="1134"/>
          <w:tab w:val="left" w:pos="9900"/>
        </w:tabs>
        <w:suppressAutoHyphens/>
        <w:spacing w:line="360" w:lineRule="auto"/>
        <w:ind w:firstLine="567"/>
        <w:contextualSpacing/>
        <w:jc w:val="both"/>
        <w:rPr>
          <w:rFonts w:eastAsia="Times New Roman" w:cs="Times New Roman"/>
          <w:sz w:val="28"/>
          <w:szCs w:val="28"/>
          <w:lang w:eastAsia="ar-SA"/>
        </w:rPr>
      </w:pPr>
      <w:r w:rsidRPr="00EF5E00">
        <w:rPr>
          <w:rFonts w:eastAsia="Times New Roman" w:cs="Times New Roman"/>
          <w:sz w:val="28"/>
          <w:szCs w:val="28"/>
          <w:lang w:eastAsia="ar-SA"/>
        </w:rPr>
        <w:t>Строительство регламентируется Гражданским, Земельным и Градостроительным кодексами РФ, а также следующими нормативными документами:</w:t>
      </w:r>
    </w:p>
    <w:p w14:paraId="0F3A4189" w14:textId="77777777" w:rsidR="00EF5E00" w:rsidRPr="00EF5E00" w:rsidRDefault="00EF5E00" w:rsidP="00EF5E00">
      <w:pPr>
        <w:widowControl w:val="0"/>
        <w:tabs>
          <w:tab w:val="left" w:pos="1134"/>
          <w:tab w:val="left" w:pos="9900"/>
        </w:tabs>
        <w:suppressAutoHyphens/>
        <w:spacing w:line="360" w:lineRule="auto"/>
        <w:ind w:firstLine="567"/>
        <w:contextualSpacing/>
        <w:jc w:val="both"/>
        <w:rPr>
          <w:rFonts w:eastAsia="Times New Roman" w:cs="Times New Roman"/>
          <w:sz w:val="28"/>
          <w:szCs w:val="28"/>
          <w:lang w:eastAsia="ar-SA"/>
        </w:rPr>
      </w:pPr>
      <w:r w:rsidRPr="00EF5E00">
        <w:rPr>
          <w:rFonts w:eastAsia="Times New Roman" w:cs="Times New Roman"/>
          <w:sz w:val="28"/>
          <w:szCs w:val="28"/>
          <w:lang w:eastAsia="ar-SA"/>
        </w:rPr>
        <w:lastRenderedPageBreak/>
        <w:t>- строительные нормы и правила Российской Ф</w:t>
      </w:r>
      <w:bookmarkStart w:id="0" w:name="OCRUncertain114"/>
      <w:r w:rsidRPr="00EF5E00">
        <w:rPr>
          <w:rFonts w:eastAsia="Times New Roman" w:cs="Times New Roman"/>
          <w:sz w:val="28"/>
          <w:szCs w:val="28"/>
          <w:lang w:eastAsia="ar-SA"/>
        </w:rPr>
        <w:t>е</w:t>
      </w:r>
      <w:bookmarkEnd w:id="0"/>
      <w:r w:rsidRPr="00EF5E00">
        <w:rPr>
          <w:rFonts w:eastAsia="Times New Roman" w:cs="Times New Roman"/>
          <w:sz w:val="28"/>
          <w:szCs w:val="28"/>
          <w:lang w:eastAsia="ar-SA"/>
        </w:rPr>
        <w:t>д</w:t>
      </w:r>
      <w:bookmarkStart w:id="1" w:name="OCRUncertain115"/>
      <w:r w:rsidRPr="00EF5E00">
        <w:rPr>
          <w:rFonts w:eastAsia="Times New Roman" w:cs="Times New Roman"/>
          <w:sz w:val="28"/>
          <w:szCs w:val="28"/>
          <w:lang w:eastAsia="ar-SA"/>
        </w:rPr>
        <w:t>е</w:t>
      </w:r>
      <w:bookmarkEnd w:id="1"/>
      <w:r w:rsidRPr="00EF5E00">
        <w:rPr>
          <w:rFonts w:eastAsia="Times New Roman" w:cs="Times New Roman"/>
          <w:sz w:val="28"/>
          <w:szCs w:val="28"/>
          <w:lang w:eastAsia="ar-SA"/>
        </w:rPr>
        <w:t xml:space="preserve">рации – </w:t>
      </w:r>
      <w:bookmarkStart w:id="2" w:name="OCRUncertain117"/>
      <w:proofErr w:type="spellStart"/>
      <w:r w:rsidRPr="00EF5E00">
        <w:rPr>
          <w:rFonts w:eastAsia="Times New Roman" w:cs="Times New Roman"/>
          <w:sz w:val="28"/>
          <w:szCs w:val="28"/>
          <w:lang w:eastAsia="ar-SA"/>
        </w:rPr>
        <w:t>СниП</w:t>
      </w:r>
      <w:bookmarkEnd w:id="2"/>
      <w:proofErr w:type="spellEnd"/>
      <w:r w:rsidRPr="00EF5E00">
        <w:rPr>
          <w:rFonts w:eastAsia="Times New Roman" w:cs="Times New Roman"/>
          <w:sz w:val="28"/>
          <w:szCs w:val="28"/>
          <w:lang w:eastAsia="ar-SA"/>
        </w:rPr>
        <w:t>;</w:t>
      </w:r>
    </w:p>
    <w:p w14:paraId="48F0E91B" w14:textId="77777777" w:rsidR="00EF5E00" w:rsidRPr="00EF5E00" w:rsidRDefault="00EF5E00" w:rsidP="00EF5E00">
      <w:pPr>
        <w:widowControl w:val="0"/>
        <w:tabs>
          <w:tab w:val="left" w:pos="1134"/>
          <w:tab w:val="left" w:pos="9900"/>
        </w:tabs>
        <w:suppressAutoHyphens/>
        <w:spacing w:line="360" w:lineRule="auto"/>
        <w:ind w:firstLine="567"/>
        <w:contextualSpacing/>
        <w:jc w:val="both"/>
        <w:rPr>
          <w:rFonts w:eastAsia="Times New Roman" w:cs="Times New Roman"/>
          <w:sz w:val="28"/>
          <w:szCs w:val="28"/>
          <w:lang w:eastAsia="ar-SA"/>
        </w:rPr>
      </w:pPr>
      <w:r w:rsidRPr="00EF5E00">
        <w:rPr>
          <w:rFonts w:eastAsia="Times New Roman" w:cs="Times New Roman"/>
          <w:sz w:val="28"/>
          <w:szCs w:val="28"/>
          <w:lang w:eastAsia="ar-SA"/>
        </w:rPr>
        <w:t>- государственные стандарты Российской Федерации в области строительства – ГОСТ;</w:t>
      </w:r>
    </w:p>
    <w:p w14:paraId="5D2B7D75" w14:textId="77777777" w:rsidR="00EF5E00" w:rsidRPr="00EF5E00" w:rsidRDefault="00EF5E00" w:rsidP="00EF5E00">
      <w:pPr>
        <w:widowControl w:val="0"/>
        <w:tabs>
          <w:tab w:val="left" w:pos="1134"/>
          <w:tab w:val="left" w:pos="9900"/>
        </w:tabs>
        <w:suppressAutoHyphens/>
        <w:spacing w:line="360" w:lineRule="auto"/>
        <w:ind w:firstLine="567"/>
        <w:contextualSpacing/>
        <w:jc w:val="both"/>
        <w:rPr>
          <w:rFonts w:eastAsia="Times New Roman" w:cs="Times New Roman"/>
          <w:sz w:val="28"/>
          <w:szCs w:val="28"/>
          <w:lang w:eastAsia="ar-SA"/>
        </w:rPr>
      </w:pPr>
      <w:r w:rsidRPr="00EF5E00">
        <w:rPr>
          <w:rFonts w:eastAsia="Times New Roman" w:cs="Times New Roman"/>
          <w:sz w:val="28"/>
          <w:szCs w:val="28"/>
          <w:lang w:eastAsia="ar-SA"/>
        </w:rPr>
        <w:t>- своды правил по проектированию и строительству – СП;</w:t>
      </w:r>
    </w:p>
    <w:p w14:paraId="6878EABC" w14:textId="77777777" w:rsidR="00EF5E00" w:rsidRPr="00EF5E00" w:rsidRDefault="00EF5E00" w:rsidP="00EF5E00">
      <w:pPr>
        <w:widowControl w:val="0"/>
        <w:tabs>
          <w:tab w:val="left" w:pos="1134"/>
          <w:tab w:val="left" w:pos="9900"/>
        </w:tabs>
        <w:suppressAutoHyphens/>
        <w:spacing w:line="360" w:lineRule="auto"/>
        <w:ind w:firstLine="567"/>
        <w:contextualSpacing/>
        <w:jc w:val="both"/>
        <w:rPr>
          <w:rFonts w:eastAsia="Times New Roman" w:cs="Times New Roman"/>
          <w:sz w:val="28"/>
          <w:szCs w:val="28"/>
          <w:lang w:eastAsia="ar-SA"/>
        </w:rPr>
      </w:pPr>
      <w:r w:rsidRPr="00EF5E00">
        <w:rPr>
          <w:rFonts w:eastAsia="Times New Roman" w:cs="Times New Roman"/>
          <w:sz w:val="28"/>
          <w:szCs w:val="28"/>
          <w:lang w:eastAsia="ar-SA"/>
        </w:rPr>
        <w:t xml:space="preserve">- территориальные строительные нормы – </w:t>
      </w:r>
      <w:bookmarkStart w:id="3" w:name="OCRUncertain122"/>
      <w:r w:rsidRPr="00EF5E00">
        <w:rPr>
          <w:rFonts w:eastAsia="Times New Roman" w:cs="Times New Roman"/>
          <w:sz w:val="28"/>
          <w:szCs w:val="28"/>
          <w:lang w:eastAsia="ar-SA"/>
        </w:rPr>
        <w:t>ТСН</w:t>
      </w:r>
      <w:bookmarkEnd w:id="3"/>
      <w:r w:rsidRPr="00EF5E00">
        <w:rPr>
          <w:rFonts w:eastAsia="Times New Roman" w:cs="Times New Roman"/>
          <w:sz w:val="28"/>
          <w:szCs w:val="28"/>
          <w:lang w:eastAsia="ar-SA"/>
        </w:rPr>
        <w:t>;</w:t>
      </w:r>
    </w:p>
    <w:p w14:paraId="01D22A75" w14:textId="77777777" w:rsidR="00EF5E00" w:rsidRPr="00EF5E00" w:rsidRDefault="00EF5E00" w:rsidP="00EF5E00">
      <w:pPr>
        <w:widowControl w:val="0"/>
        <w:tabs>
          <w:tab w:val="left" w:pos="1134"/>
          <w:tab w:val="left" w:pos="9900"/>
        </w:tabs>
        <w:suppressAutoHyphens/>
        <w:spacing w:line="360" w:lineRule="auto"/>
        <w:ind w:firstLine="567"/>
        <w:contextualSpacing/>
        <w:jc w:val="both"/>
        <w:rPr>
          <w:rFonts w:eastAsia="Times New Roman" w:cs="Times New Roman"/>
          <w:sz w:val="28"/>
          <w:szCs w:val="28"/>
          <w:lang w:eastAsia="ar-SA"/>
        </w:rPr>
      </w:pPr>
      <w:r w:rsidRPr="00EF5E00">
        <w:rPr>
          <w:rFonts w:eastAsia="Times New Roman" w:cs="Times New Roman"/>
          <w:sz w:val="28"/>
          <w:szCs w:val="28"/>
          <w:lang w:eastAsia="ar-SA"/>
        </w:rPr>
        <w:t>- технические условия – ТУ.</w:t>
      </w:r>
    </w:p>
    <w:p w14:paraId="76B37D27" w14:textId="77777777" w:rsidR="00EF5E00" w:rsidRPr="00EF5E00" w:rsidRDefault="00EF5E00" w:rsidP="00EF5E00">
      <w:pPr>
        <w:tabs>
          <w:tab w:val="left" w:pos="9900"/>
        </w:tabs>
        <w:spacing w:line="360" w:lineRule="auto"/>
        <w:ind w:right="-3"/>
        <w:jc w:val="center"/>
        <w:outlineLvl w:val="0"/>
        <w:rPr>
          <w:rFonts w:eastAsia="Calibri" w:cs="Times New Roman"/>
          <w:b/>
          <w:sz w:val="28"/>
          <w:szCs w:val="28"/>
        </w:rPr>
      </w:pPr>
      <w:r w:rsidRPr="00EF5E00">
        <w:rPr>
          <w:rFonts w:eastAsia="Calibri" w:cs="Times New Roman"/>
          <w:b/>
          <w:sz w:val="28"/>
          <w:szCs w:val="28"/>
        </w:rPr>
        <w:t>1.1 Участники процесса застройки</w:t>
      </w:r>
    </w:p>
    <w:p w14:paraId="5ED53947"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i/>
          <w:sz w:val="28"/>
          <w:szCs w:val="28"/>
          <w:u w:val="single"/>
        </w:rPr>
        <w:t xml:space="preserve">Участники процесса застройки </w:t>
      </w:r>
      <w:r w:rsidRPr="00EF5E00">
        <w:rPr>
          <w:rFonts w:eastAsia="Calibri" w:cs="Times New Roman"/>
          <w:sz w:val="28"/>
          <w:szCs w:val="28"/>
        </w:rPr>
        <w:t xml:space="preserve">- основной элемент структуры любого проекта, так как именно они обеспечивают его реализацию. </w:t>
      </w:r>
    </w:p>
    <w:p w14:paraId="35035028"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Состав участников проекта, их роли, распределение функций и ответственности зависят от типа, вида, масштаба и сложности проекта, а также от фаз его жизненного цикла. Число участников может быть различным и меняться на протяжении жизненного цикла проекта, но имеются участники, которые практически присутствуют в любом проекте, это такие участники, как: застройщик, заказчик, генподрядчик и субподрядчики.</w:t>
      </w:r>
    </w:p>
    <w:p w14:paraId="5B26CF91"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В Федеральном законе от 25 февраля 1995г. «Об инвестиционной деятельности в Российской Федерации, осуществляемой в форме капитальных вложений» определены понятия заказчика и подрядчика в инвестиционном процессе. </w:t>
      </w:r>
    </w:p>
    <w:p w14:paraId="7AF5E0FD" w14:textId="77777777" w:rsidR="00EF5E00" w:rsidRPr="00EF5E00" w:rsidRDefault="00EF5E00" w:rsidP="00EF5E00">
      <w:pPr>
        <w:tabs>
          <w:tab w:val="left" w:pos="9900"/>
        </w:tabs>
        <w:spacing w:line="360" w:lineRule="auto"/>
        <w:ind w:right="-3" w:firstLine="567"/>
        <w:jc w:val="both"/>
        <w:outlineLvl w:val="0"/>
        <w:rPr>
          <w:rFonts w:eastAsia="Calibri" w:cs="Times New Roman"/>
          <w:bCs/>
          <w:iCs/>
          <w:sz w:val="28"/>
          <w:szCs w:val="28"/>
        </w:rPr>
      </w:pPr>
      <w:r w:rsidRPr="00EF5E00">
        <w:rPr>
          <w:rFonts w:eastAsia="Calibri" w:cs="Times New Roman"/>
          <w:bCs/>
          <w:i/>
          <w:iCs/>
          <w:sz w:val="28"/>
          <w:szCs w:val="28"/>
          <w:u w:val="single"/>
        </w:rPr>
        <w:t>Инвестор</w:t>
      </w:r>
      <w:r w:rsidRPr="00EF5E00">
        <w:rPr>
          <w:rFonts w:eastAsia="Calibri" w:cs="Times New Roman"/>
          <w:bCs/>
          <w:iCs/>
          <w:sz w:val="28"/>
          <w:szCs w:val="28"/>
        </w:rPr>
        <w:t xml:space="preserve"> - юридическое или физическое лицо, вкладывающее собственные, заемные или иные привлеченные средства в инвестиционные проекты на строительство объекта в объеме полного его инвестирования, а также обеспечивающее их целевое использование [28].</w:t>
      </w:r>
    </w:p>
    <w:p w14:paraId="45C538A7"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bCs/>
          <w:i/>
          <w:iCs/>
          <w:sz w:val="28"/>
          <w:szCs w:val="28"/>
          <w:u w:val="single"/>
        </w:rPr>
        <w:t>Заказчик</w:t>
      </w:r>
      <w:r w:rsidRPr="00EF5E00">
        <w:rPr>
          <w:rFonts w:eastAsia="Calibri" w:cs="Times New Roman"/>
          <w:b/>
          <w:bCs/>
          <w:sz w:val="28"/>
          <w:szCs w:val="28"/>
        </w:rPr>
        <w:t xml:space="preserve"> – </w:t>
      </w:r>
      <w:r w:rsidRPr="00EF5E00">
        <w:rPr>
          <w:rFonts w:eastAsia="Calibri" w:cs="Times New Roman"/>
          <w:sz w:val="28"/>
          <w:szCs w:val="28"/>
        </w:rPr>
        <w:t xml:space="preserve">инвестор или другое, уполномоченное инвестором юридическое или физическое лицо, осуществляющее реализацию инвестиционного проекта по строительству и подготовке к вводу в эксплуатацию объекта за счет средств инвестора с привлечением подрядчика на основе договора подряда для выполнения строительно-монтажных работ и имеющее лицензию на выполнение этих функций. Осуществляет свою деятельность подрядным или хозяйственным (т.е. без привлечения работников со стороны) способом. Все производит по собственной воле, по поручению инвесторов или органов власти. </w:t>
      </w:r>
    </w:p>
    <w:p w14:paraId="3A1B4A7E" w14:textId="77777777" w:rsidR="00EF5E00" w:rsidRPr="00EF5E00" w:rsidRDefault="00EF5E00" w:rsidP="00EF5E00">
      <w:pPr>
        <w:widowControl w:val="0"/>
        <w:tabs>
          <w:tab w:val="left" w:pos="-851"/>
          <w:tab w:val="left" w:pos="9923"/>
        </w:tabs>
        <w:suppressAutoHyphens/>
        <w:spacing w:line="360" w:lineRule="auto"/>
        <w:ind w:right="-3" w:firstLine="567"/>
        <w:contextualSpacing/>
        <w:jc w:val="both"/>
        <w:rPr>
          <w:rFonts w:eastAsia="Calibri" w:cs="Times New Roman"/>
          <w:sz w:val="28"/>
          <w:szCs w:val="28"/>
          <w:lang w:eastAsia="ar-SA"/>
        </w:rPr>
      </w:pPr>
      <w:r w:rsidRPr="00EF5E00">
        <w:rPr>
          <w:rFonts w:eastAsia="Calibri" w:cs="Times New Roman"/>
          <w:sz w:val="28"/>
          <w:szCs w:val="28"/>
          <w:lang w:eastAsia="ar-SA"/>
        </w:rPr>
        <w:t>Если инвестор и заказчик не являются одним и тем же лицом, то инвестор заключает договор с заказчиком, контролирует выполнение контрактов и осуществляет расчеты с другими участниками проекта по мере его выполнения.</w:t>
      </w:r>
    </w:p>
    <w:p w14:paraId="440585DC" w14:textId="77777777" w:rsidR="00EF5E00" w:rsidRPr="00EF5E00" w:rsidRDefault="00EF5E00" w:rsidP="00EF5E00">
      <w:pPr>
        <w:tabs>
          <w:tab w:val="left" w:pos="9923"/>
        </w:tabs>
        <w:spacing w:line="360" w:lineRule="auto"/>
        <w:ind w:right="-3" w:firstLine="567"/>
        <w:jc w:val="both"/>
        <w:outlineLvl w:val="0"/>
        <w:rPr>
          <w:rFonts w:eastAsia="Calibri" w:cs="Times New Roman"/>
          <w:sz w:val="28"/>
          <w:szCs w:val="28"/>
          <w:u w:val="single"/>
        </w:rPr>
      </w:pPr>
      <w:r w:rsidRPr="00EF5E00">
        <w:rPr>
          <w:rFonts w:eastAsia="Calibri" w:cs="Times New Roman"/>
          <w:sz w:val="28"/>
          <w:szCs w:val="28"/>
          <w:u w:val="single"/>
        </w:rPr>
        <w:t xml:space="preserve">Основные задачи заказчика: </w:t>
      </w:r>
    </w:p>
    <w:p w14:paraId="22ED2AB5" w14:textId="77777777" w:rsidR="00EF5E00" w:rsidRPr="00EF5E00" w:rsidRDefault="00EF5E00" w:rsidP="00EF5E00">
      <w:pPr>
        <w:tabs>
          <w:tab w:val="left" w:pos="9923"/>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разработка бизнес-плана;</w:t>
      </w:r>
    </w:p>
    <w:p w14:paraId="7F8C16CD" w14:textId="77777777" w:rsidR="00EF5E00" w:rsidRPr="00EF5E00" w:rsidRDefault="00EF5E00" w:rsidP="00EF5E00">
      <w:pPr>
        <w:tabs>
          <w:tab w:val="left" w:pos="9923"/>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выбор площадки строительства;</w:t>
      </w:r>
    </w:p>
    <w:p w14:paraId="3C53A764" w14:textId="77777777" w:rsidR="00EF5E00" w:rsidRPr="00EF5E00" w:rsidRDefault="00EF5E00" w:rsidP="00EF5E00">
      <w:pPr>
        <w:tabs>
          <w:tab w:val="left" w:pos="9923"/>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получение всех необходимых разрешений и согласований;</w:t>
      </w:r>
    </w:p>
    <w:p w14:paraId="704976F9" w14:textId="77777777" w:rsidR="00EF5E00" w:rsidRPr="00EF5E00" w:rsidRDefault="00EF5E00" w:rsidP="00EF5E00">
      <w:pPr>
        <w:tabs>
          <w:tab w:val="left" w:pos="9923"/>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подготовка строительной площадки;</w:t>
      </w:r>
    </w:p>
    <w:p w14:paraId="4D6631E1" w14:textId="77777777" w:rsidR="00EF5E00" w:rsidRPr="00EF5E00" w:rsidRDefault="00EF5E00" w:rsidP="00EF5E00">
      <w:pPr>
        <w:tabs>
          <w:tab w:val="left" w:pos="9923"/>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разработка и утверждение проектно-сметной документации;</w:t>
      </w:r>
    </w:p>
    <w:p w14:paraId="649475A7" w14:textId="77777777" w:rsidR="00EF5E00" w:rsidRPr="00EF5E00" w:rsidRDefault="00EF5E00" w:rsidP="00EF5E00">
      <w:pPr>
        <w:tabs>
          <w:tab w:val="left" w:pos="9923"/>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контроль качества работ;</w:t>
      </w:r>
    </w:p>
    <w:p w14:paraId="2E727D9B" w14:textId="77777777" w:rsidR="00EF5E00" w:rsidRPr="00EF5E00" w:rsidRDefault="00EF5E00" w:rsidP="00EF5E00">
      <w:pPr>
        <w:tabs>
          <w:tab w:val="left" w:pos="9923"/>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приёмка выполненных работ;</w:t>
      </w:r>
    </w:p>
    <w:p w14:paraId="79497966" w14:textId="77777777" w:rsidR="00EF5E00" w:rsidRPr="00EF5E00" w:rsidRDefault="00EF5E00" w:rsidP="00EF5E00">
      <w:pPr>
        <w:tabs>
          <w:tab w:val="left" w:pos="9923"/>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своевременная оплата работ и услуг;</w:t>
      </w:r>
    </w:p>
    <w:p w14:paraId="12C332F2" w14:textId="77777777" w:rsidR="00EF5E00" w:rsidRPr="00EF5E00" w:rsidRDefault="00EF5E00" w:rsidP="00EF5E00">
      <w:pPr>
        <w:tabs>
          <w:tab w:val="left" w:pos="9923"/>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сдача объекта в эксплуатацию;</w:t>
      </w:r>
    </w:p>
    <w:p w14:paraId="65862F2D" w14:textId="77777777" w:rsidR="00EF5E00" w:rsidRPr="00EF5E00" w:rsidRDefault="00EF5E00" w:rsidP="00EF5E00">
      <w:pPr>
        <w:tabs>
          <w:tab w:val="left" w:pos="9923"/>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передача объекта собственникам или эксплуатирующей организации.</w:t>
      </w:r>
    </w:p>
    <w:p w14:paraId="67CCB334" w14:textId="77777777" w:rsidR="00EF5E00" w:rsidRPr="00EF5E00" w:rsidRDefault="00EF5E00" w:rsidP="00EF5E00">
      <w:pPr>
        <w:tabs>
          <w:tab w:val="left" w:pos="9923"/>
        </w:tabs>
        <w:spacing w:line="360" w:lineRule="auto"/>
        <w:ind w:right="-3" w:firstLine="567"/>
        <w:jc w:val="both"/>
        <w:outlineLvl w:val="0"/>
        <w:rPr>
          <w:rFonts w:eastAsia="Calibri" w:cs="Times New Roman"/>
          <w:sz w:val="28"/>
          <w:szCs w:val="28"/>
        </w:rPr>
      </w:pPr>
      <w:r w:rsidRPr="00EF5E00">
        <w:rPr>
          <w:rFonts w:eastAsia="Calibri" w:cs="Times New Roman"/>
          <w:bCs/>
          <w:i/>
          <w:sz w:val="28"/>
          <w:szCs w:val="28"/>
          <w:u w:val="single"/>
        </w:rPr>
        <w:t>Застройщик</w:t>
      </w:r>
      <w:r w:rsidRPr="00EF5E00">
        <w:rPr>
          <w:rFonts w:eastAsia="Calibri" w:cs="Times New Roman"/>
          <w:sz w:val="28"/>
          <w:szCs w:val="28"/>
        </w:rPr>
        <w:t xml:space="preserve"> – это лицо, обязанное обеспечить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(в соответствии со статьей 1. п.16 </w:t>
      </w:r>
      <w:proofErr w:type="spellStart"/>
      <w:r w:rsidRPr="00EF5E00">
        <w:rPr>
          <w:rFonts w:eastAsia="Calibri" w:cs="Times New Roman"/>
          <w:sz w:val="28"/>
          <w:szCs w:val="28"/>
        </w:rPr>
        <w:t>ГрК</w:t>
      </w:r>
      <w:proofErr w:type="spellEnd"/>
      <w:r w:rsidRPr="00EF5E00">
        <w:rPr>
          <w:rFonts w:eastAsia="Calibri" w:cs="Times New Roman"/>
          <w:sz w:val="28"/>
          <w:szCs w:val="28"/>
        </w:rPr>
        <w:t xml:space="preserve"> РФ).</w:t>
      </w:r>
    </w:p>
    <w:p w14:paraId="3303B446" w14:textId="77777777" w:rsidR="00EF5E00" w:rsidRPr="00EF5E00" w:rsidRDefault="00EF5E00" w:rsidP="00EF5E00">
      <w:pPr>
        <w:tabs>
          <w:tab w:val="left" w:pos="9923"/>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Застройщик имеет право:</w:t>
      </w:r>
    </w:p>
    <w:p w14:paraId="3027A7DD"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 осуществить строительство, реконструкцию, капитальный ремонт объектов капитального строительства самостоятельно (в соотв. со ст.52. ч.3 </w:t>
      </w:r>
      <w:proofErr w:type="spellStart"/>
      <w:r w:rsidRPr="00EF5E00">
        <w:rPr>
          <w:rFonts w:eastAsia="Calibri" w:cs="Times New Roman"/>
          <w:sz w:val="28"/>
          <w:szCs w:val="28"/>
        </w:rPr>
        <w:t>ГрК</w:t>
      </w:r>
      <w:proofErr w:type="spellEnd"/>
      <w:r w:rsidRPr="00EF5E00">
        <w:rPr>
          <w:rFonts w:eastAsia="Calibri" w:cs="Times New Roman"/>
          <w:sz w:val="28"/>
          <w:szCs w:val="28"/>
        </w:rPr>
        <w:t xml:space="preserve"> РФ);</w:t>
      </w:r>
    </w:p>
    <w:p w14:paraId="7C5F993B"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   нанять для осуществления строительства другое лицо - подрядчика (ст. 52. ч.3 </w:t>
      </w:r>
      <w:proofErr w:type="spellStart"/>
      <w:r w:rsidRPr="00EF5E00">
        <w:rPr>
          <w:rFonts w:eastAsia="Calibri" w:cs="Times New Roman"/>
          <w:sz w:val="28"/>
          <w:szCs w:val="28"/>
        </w:rPr>
        <w:t>ГрК</w:t>
      </w:r>
      <w:proofErr w:type="spellEnd"/>
      <w:r w:rsidRPr="00EF5E00">
        <w:rPr>
          <w:rFonts w:eastAsia="Calibri" w:cs="Times New Roman"/>
          <w:sz w:val="28"/>
          <w:szCs w:val="28"/>
        </w:rPr>
        <w:t xml:space="preserve"> РФ);</w:t>
      </w:r>
    </w:p>
    <w:p w14:paraId="7A86655D"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 уполномочить другое лицо обеспечить на принадлежащем ему (застройщику)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(в соотв. со статьей 47. ч.3 </w:t>
      </w:r>
      <w:proofErr w:type="spellStart"/>
      <w:r w:rsidRPr="00EF5E00">
        <w:rPr>
          <w:rFonts w:eastAsia="Calibri" w:cs="Times New Roman"/>
          <w:sz w:val="28"/>
          <w:szCs w:val="28"/>
        </w:rPr>
        <w:t>ГрК</w:t>
      </w:r>
      <w:proofErr w:type="spellEnd"/>
      <w:r w:rsidRPr="00EF5E00">
        <w:rPr>
          <w:rFonts w:eastAsia="Calibri" w:cs="Times New Roman"/>
          <w:sz w:val="28"/>
          <w:szCs w:val="28"/>
        </w:rPr>
        <w:t xml:space="preserve"> РФ). </w:t>
      </w:r>
    </w:p>
    <w:p w14:paraId="10EBA796"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По окончании строительства заказчик принимает объект в эксплуатацию и регистрирует право собственности в местном органе самоуправления.</w:t>
      </w:r>
    </w:p>
    <w:p w14:paraId="3B88D047" w14:textId="77777777" w:rsidR="00EF5E00" w:rsidRPr="00EF5E00" w:rsidRDefault="00EF5E00" w:rsidP="00EF5E00">
      <w:pPr>
        <w:widowControl w:val="0"/>
        <w:tabs>
          <w:tab w:val="left" w:pos="1134"/>
          <w:tab w:val="left" w:pos="9900"/>
        </w:tabs>
        <w:suppressAutoHyphens/>
        <w:spacing w:line="360" w:lineRule="auto"/>
        <w:ind w:firstLine="567"/>
        <w:contextualSpacing/>
        <w:jc w:val="both"/>
        <w:rPr>
          <w:rFonts w:eastAsia="Times New Roman" w:cs="Times New Roman"/>
          <w:i/>
          <w:sz w:val="28"/>
          <w:szCs w:val="28"/>
          <w:lang w:eastAsia="ar-SA"/>
        </w:rPr>
      </w:pPr>
      <w:r w:rsidRPr="00EF5E00">
        <w:rPr>
          <w:rFonts w:eastAsia="Times New Roman" w:cs="Times New Roman"/>
          <w:i/>
          <w:sz w:val="28"/>
          <w:szCs w:val="28"/>
          <w:lang w:eastAsia="ar-SA"/>
        </w:rPr>
        <w:t>Генеральный проектировщик</w:t>
      </w:r>
      <w:r w:rsidRPr="00EF5E00">
        <w:rPr>
          <w:rFonts w:eastAsia="Times New Roman" w:cs="Times New Roman"/>
          <w:sz w:val="28"/>
          <w:szCs w:val="28"/>
          <w:lang w:eastAsia="ar-SA"/>
        </w:rPr>
        <w:t xml:space="preserve"> - главный исполнитель проектных работ, выполняющий основную их часть собственными силами, а остальную - силами привлекаемых субподрядных проектных организаций "проектировщиков". Генеральный проектировщик обычно сам формирует состав исполнителей (проектировщиков), ведет с ними денежные расчеты, принимает у них законченные проектные работы (по аналогии со строительным генподрядчиком). Чаще всего это крупная проектная организация, специализированная на каком-либо виде строительства (промышленном, гидротехническом, и т.д.). </w:t>
      </w:r>
    </w:p>
    <w:p w14:paraId="0AAB02C5" w14:textId="77777777" w:rsidR="00EF5E00" w:rsidRPr="00EF5E00" w:rsidRDefault="00EF5E00" w:rsidP="00EF5E00">
      <w:pPr>
        <w:widowControl w:val="0"/>
        <w:tabs>
          <w:tab w:val="left" w:pos="1134"/>
          <w:tab w:val="left" w:pos="9900"/>
        </w:tabs>
        <w:suppressAutoHyphens/>
        <w:spacing w:line="360" w:lineRule="auto"/>
        <w:ind w:firstLine="567"/>
        <w:contextualSpacing/>
        <w:jc w:val="both"/>
        <w:rPr>
          <w:rFonts w:eastAsia="Times New Roman" w:cs="Times New Roman"/>
          <w:sz w:val="28"/>
          <w:szCs w:val="28"/>
          <w:highlight w:val="yellow"/>
          <w:lang w:eastAsia="ar-SA"/>
        </w:rPr>
      </w:pPr>
      <w:r w:rsidRPr="00EF5E00">
        <w:rPr>
          <w:rFonts w:eastAsia="Times New Roman" w:cs="Times New Roman"/>
          <w:sz w:val="28"/>
          <w:szCs w:val="28"/>
          <w:lang w:eastAsia="ar-SA"/>
        </w:rPr>
        <w:t>Проектные организации разрабатывают проектно-сметную документа</w:t>
      </w:r>
      <w:r w:rsidRPr="00EF5E00">
        <w:rPr>
          <w:rFonts w:eastAsia="Times New Roman" w:cs="Times New Roman"/>
          <w:sz w:val="28"/>
          <w:szCs w:val="28"/>
          <w:lang w:eastAsia="ar-SA"/>
        </w:rPr>
        <w:softHyphen/>
        <w:t xml:space="preserve">цию и выполняют проектно-изыскательские работы. </w:t>
      </w:r>
    </w:p>
    <w:p w14:paraId="5D960446"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bCs/>
          <w:i/>
          <w:sz w:val="28"/>
          <w:szCs w:val="28"/>
          <w:u w:val="single"/>
        </w:rPr>
        <w:t>Подрядчики (генподрядчик, субподрядчики)</w:t>
      </w:r>
      <w:r w:rsidRPr="00EF5E00">
        <w:rPr>
          <w:rFonts w:eastAsia="Calibri" w:cs="Times New Roman"/>
          <w:bCs/>
          <w:sz w:val="28"/>
          <w:szCs w:val="28"/>
        </w:rPr>
        <w:t xml:space="preserve"> </w:t>
      </w:r>
      <w:r w:rsidRPr="00EF5E00">
        <w:rPr>
          <w:rFonts w:eastAsia="Calibri" w:cs="Times New Roman"/>
          <w:sz w:val="28"/>
          <w:szCs w:val="28"/>
        </w:rPr>
        <w:t xml:space="preserve">– инженерно-строительные организации, которые выполняют работы по реализации проекта в соответствии с договором подряда. </w:t>
      </w:r>
    </w:p>
    <w:p w14:paraId="5F2EE0EC"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Договор с заказчиком заключает генеральный подрядчик – центральная фигура в строительстве. Он возглавляет строительство, отвечая перед заказчиком за своевременное и качественное осуществление проекта и сдачу объектов в эксплуатацию. Как правило, генподрядчик производит общестроительные работы собственными силами, а для выполнения отдельных видов работ (монтажных, сантехнических, электромонтажных и др.) привлекает субподрядные организации. Но при этом генподрядная организация несет ответственность за выполнение не только работ, осуществляемых собственными силами, но и за работу субподрядчиков; координирует производство работ всеми субподрядчиками, не вмешиваясь в их внутреннюю производственно-хозяйственную деятельность.</w:t>
      </w:r>
    </w:p>
    <w:p w14:paraId="2477A25D"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Договор между заказчиком и генподрядчиком – это договор подряда, который регулируется правилами о подрядных договорах в строительстве, правилами о договорах на выполнение проектных и изыскательских работ и гражданским законодательством. По договору на капитальное строительство организация-подрядчик обязуется построить и сдать заказчику предусмотренный планом объект в соответствии с утвержденной проектно-сметной документацией и в установленный срок, а заказчик обязуется предоставить подрядчику строительную площадку, передать ему утвержденную проектно-сметную документацию, обеспечить своевременное финансирование строительства, принять законченные строительством объекты и оплатить их.</w:t>
      </w:r>
    </w:p>
    <w:p w14:paraId="1C9CA174"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Организатор строительства обязан иметь свидетельство о допуске ко всем видам работ, выполняемым в рамках данного подряда (генеральный подрядчик строит собственными и/или привлеченными силами).</w:t>
      </w:r>
    </w:p>
    <w:p w14:paraId="3FEAA68C"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В соответствии со статьей 53 п. 2 Градостроительного Кодекса РФ строительная организация, выполняющая строительные работы, по закону обязательно должна осуществлять строительный контроль за выполнением данных работ.</w:t>
      </w:r>
    </w:p>
    <w:p w14:paraId="280426AC" w14:textId="77777777" w:rsidR="00EF5E00" w:rsidRPr="00EF5E00" w:rsidRDefault="00EF5E00" w:rsidP="00EF5E00">
      <w:pPr>
        <w:widowControl w:val="0"/>
        <w:tabs>
          <w:tab w:val="left" w:pos="1134"/>
          <w:tab w:val="left" w:pos="9900"/>
        </w:tabs>
        <w:suppressAutoHyphens/>
        <w:spacing w:line="360" w:lineRule="auto"/>
        <w:ind w:firstLine="567"/>
        <w:contextualSpacing/>
        <w:jc w:val="both"/>
        <w:rPr>
          <w:rFonts w:eastAsia="Times New Roman" w:cs="Times New Roman"/>
          <w:sz w:val="28"/>
          <w:szCs w:val="28"/>
          <w:lang w:eastAsia="ar-SA"/>
        </w:rPr>
      </w:pPr>
      <w:r w:rsidRPr="00EF5E00">
        <w:rPr>
          <w:rFonts w:eastAsia="Times New Roman" w:cs="Times New Roman"/>
          <w:i/>
          <w:sz w:val="28"/>
          <w:szCs w:val="28"/>
          <w:lang w:eastAsia="ar-SA"/>
        </w:rPr>
        <w:t>Приемочная комиссия</w:t>
      </w:r>
      <w:r w:rsidRPr="00EF5E00">
        <w:rPr>
          <w:rFonts w:eastAsia="Times New Roman" w:cs="Times New Roman"/>
          <w:sz w:val="28"/>
          <w:szCs w:val="28"/>
          <w:lang w:eastAsia="ar-SA"/>
        </w:rPr>
        <w:t xml:space="preserve"> — временный коллегиальный орган, устанавливающий и документально подтверждающий соответствие законченного строительством объекта утвержденной в установленном порядке проектной документации и требованиям нормативных актов, а также готовность его к вводу в эксплуатацию.</w:t>
      </w:r>
    </w:p>
    <w:p w14:paraId="424C57D8" w14:textId="77777777" w:rsidR="00EF5E00" w:rsidRPr="00EF5E00" w:rsidRDefault="00EF5E00" w:rsidP="00EF5E00">
      <w:pPr>
        <w:widowControl w:val="0"/>
        <w:tabs>
          <w:tab w:val="left" w:pos="1134"/>
          <w:tab w:val="left" w:pos="9900"/>
        </w:tabs>
        <w:suppressAutoHyphens/>
        <w:spacing w:line="360" w:lineRule="auto"/>
        <w:ind w:firstLine="567"/>
        <w:contextualSpacing/>
        <w:jc w:val="both"/>
        <w:rPr>
          <w:rFonts w:eastAsia="Times New Roman" w:cs="Times New Roman"/>
          <w:sz w:val="28"/>
          <w:szCs w:val="28"/>
          <w:lang w:eastAsia="ar-SA"/>
        </w:rPr>
      </w:pPr>
      <w:r w:rsidRPr="00EF5E00">
        <w:rPr>
          <w:rFonts w:eastAsia="Times New Roman" w:cs="Times New Roman"/>
          <w:sz w:val="28"/>
          <w:szCs w:val="28"/>
          <w:lang w:eastAsia="ar-SA"/>
        </w:rPr>
        <w:t>Важно будет отметить, что субъект инвестиционной деятельности вправе совмещать функции двух субъектов и более, если иное не установлено договором и (или) государственным контрактом, заключаемым между ними.</w:t>
      </w:r>
    </w:p>
    <w:p w14:paraId="05D2DEA0" w14:textId="77777777" w:rsidR="00EF5E00" w:rsidRPr="00EF5E00" w:rsidRDefault="00EF5E00" w:rsidP="00EF5E00">
      <w:pPr>
        <w:tabs>
          <w:tab w:val="left" w:pos="9900"/>
        </w:tabs>
        <w:spacing w:line="360" w:lineRule="auto"/>
        <w:ind w:right="-284"/>
        <w:jc w:val="center"/>
        <w:outlineLvl w:val="0"/>
        <w:rPr>
          <w:rFonts w:eastAsia="Calibri" w:cs="Times New Roman"/>
          <w:b/>
          <w:sz w:val="28"/>
          <w:szCs w:val="28"/>
        </w:rPr>
      </w:pPr>
      <w:r w:rsidRPr="00EF5E00">
        <w:rPr>
          <w:rFonts w:eastAsia="Calibri" w:cs="Times New Roman"/>
          <w:b/>
          <w:sz w:val="28"/>
          <w:szCs w:val="28"/>
        </w:rPr>
        <w:t>1.2 Государственное регулирование и управление</w:t>
      </w:r>
    </w:p>
    <w:p w14:paraId="05B35BD9" w14:textId="77777777" w:rsidR="00EF5E00" w:rsidRPr="00EF5E00" w:rsidRDefault="00EF5E00" w:rsidP="00EF5E00">
      <w:pPr>
        <w:tabs>
          <w:tab w:val="left" w:pos="9900"/>
        </w:tabs>
        <w:spacing w:line="360" w:lineRule="auto"/>
        <w:ind w:right="-284"/>
        <w:jc w:val="center"/>
        <w:outlineLvl w:val="0"/>
        <w:rPr>
          <w:rFonts w:eastAsia="Calibri" w:cs="Times New Roman"/>
          <w:b/>
          <w:sz w:val="28"/>
          <w:szCs w:val="28"/>
        </w:rPr>
      </w:pPr>
      <w:r w:rsidRPr="00EF5E00">
        <w:rPr>
          <w:rFonts w:eastAsia="Calibri" w:cs="Times New Roman"/>
          <w:b/>
          <w:sz w:val="28"/>
          <w:szCs w:val="28"/>
        </w:rPr>
        <w:t>проектно-строительной деятельностью</w:t>
      </w:r>
    </w:p>
    <w:p w14:paraId="4CD73E64"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Любой инвестиционно-строительный проект в строительстве включает следующие виды деятельности:</w:t>
      </w:r>
    </w:p>
    <w:p w14:paraId="788162C2" w14:textId="77777777" w:rsidR="00EF5E00" w:rsidRPr="00EF5E00" w:rsidRDefault="00EF5E00" w:rsidP="00EF5E00">
      <w:pPr>
        <w:numPr>
          <w:ilvl w:val="0"/>
          <w:numId w:val="11"/>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Сбор исходных данных,  задание на проектирование и получение технических условий. Выдается комитетом по строительству и архитектуре и указывается в разрешительном письме.</w:t>
      </w:r>
    </w:p>
    <w:p w14:paraId="16B6A3EA" w14:textId="77777777" w:rsidR="00EF5E00" w:rsidRPr="00EF5E00" w:rsidRDefault="00EF5E00" w:rsidP="00EF5E00">
      <w:pPr>
        <w:numPr>
          <w:ilvl w:val="0"/>
          <w:numId w:val="11"/>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Предварительное проектирование (эскизный проект, который вместе с письмом подается в комитет по строительству и архитектуре).</w:t>
      </w:r>
    </w:p>
    <w:p w14:paraId="77BB1029" w14:textId="77777777" w:rsidR="00EF5E00" w:rsidRPr="00EF5E00" w:rsidRDefault="00EF5E00" w:rsidP="00EF5E00">
      <w:pPr>
        <w:numPr>
          <w:ilvl w:val="0"/>
          <w:numId w:val="11"/>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Разрешение на получение земельного участка выдается землеустроительным комитетом по разрешительному письму.</w:t>
      </w:r>
    </w:p>
    <w:p w14:paraId="5E67F206" w14:textId="77777777" w:rsidR="00EF5E00" w:rsidRPr="00EF5E00" w:rsidRDefault="00EF5E00" w:rsidP="00EF5E00">
      <w:pPr>
        <w:numPr>
          <w:ilvl w:val="0"/>
          <w:numId w:val="11"/>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Получение разрешения на строительство, в виде разрешительного письма, которое  выдается комитетом по строительству и архитектуре.</w:t>
      </w:r>
    </w:p>
    <w:p w14:paraId="54BCB735" w14:textId="77777777" w:rsidR="00EF5E00" w:rsidRPr="00EF5E00" w:rsidRDefault="00EF5E00" w:rsidP="00EF5E00">
      <w:pPr>
        <w:numPr>
          <w:ilvl w:val="0"/>
          <w:numId w:val="11"/>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Проектирование, согласование и экспертиза проекта. Согласование и экспертиза проводится комитетом по строительству и архитектуре, комитетом по охране памятников, городскими надзорными органами и вневедомственной экспертизой.</w:t>
      </w:r>
    </w:p>
    <w:p w14:paraId="66CD3CBA" w14:textId="77777777" w:rsidR="00EF5E00" w:rsidRPr="00EF5E00" w:rsidRDefault="00EF5E00" w:rsidP="00EF5E00">
      <w:pPr>
        <w:numPr>
          <w:ilvl w:val="0"/>
          <w:numId w:val="11"/>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Подготовка к строительству</w:t>
      </w:r>
      <w:r w:rsidRPr="00EF5E00">
        <w:rPr>
          <w:rFonts w:eastAsia="Calibri" w:cs="Times New Roman"/>
          <w:sz w:val="28"/>
          <w:szCs w:val="28"/>
          <w:lang w:val="en-US"/>
        </w:rPr>
        <w:t>:</w:t>
      </w:r>
    </w:p>
    <w:p w14:paraId="6A9F888E" w14:textId="77777777" w:rsidR="00EF5E00" w:rsidRPr="00EF5E00" w:rsidRDefault="00EF5E00" w:rsidP="00EF5E00">
      <w:pPr>
        <w:tabs>
          <w:tab w:val="left" w:pos="9900"/>
        </w:tab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 заключение договоров подряда, субподряда и авторского надзора. Разрешение на начало строительно-монтажных работ, которое выдается ГАСН и ГАТИ.</w:t>
      </w:r>
    </w:p>
    <w:p w14:paraId="05469963" w14:textId="77777777" w:rsidR="00EF5E00" w:rsidRPr="00EF5E00" w:rsidRDefault="00EF5E00" w:rsidP="00EF5E00">
      <w:pPr>
        <w:tabs>
          <w:tab w:val="left" w:pos="9900"/>
        </w:tab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 Вынос в натуру осей площадки. Выдается государственной геодезической службой на топографической основе.</w:t>
      </w:r>
    </w:p>
    <w:p w14:paraId="007730BA" w14:textId="77777777" w:rsidR="00EF5E00" w:rsidRPr="00EF5E00" w:rsidRDefault="00EF5E00" w:rsidP="00EF5E00">
      <w:pPr>
        <w:tabs>
          <w:tab w:val="left" w:pos="9900"/>
        </w:tab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 Разрешение на начало работ нулевого цикла. Выдается ГАСН и ГАТИ.</w:t>
      </w:r>
    </w:p>
    <w:p w14:paraId="7795072A" w14:textId="77777777" w:rsidR="00EF5E00" w:rsidRPr="00EF5E00" w:rsidRDefault="00EF5E00" w:rsidP="00EF5E00">
      <w:pPr>
        <w:tabs>
          <w:tab w:val="left" w:pos="9900"/>
        </w:tab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 Строительство, надзор и промежуточная приемка строительно-монтажных работ. Работу принимает заказчик, участвуют ГАСН, ГАТИ, авторский и технический надзор.</w:t>
      </w:r>
    </w:p>
    <w:p w14:paraId="2B40CDEC" w14:textId="77777777" w:rsidR="00EF5E00" w:rsidRPr="00EF5E00" w:rsidRDefault="00EF5E00" w:rsidP="00EF5E00">
      <w:pPr>
        <w:numPr>
          <w:ilvl w:val="0"/>
          <w:numId w:val="11"/>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Техническая регистрация объекта (БТИ), земельная регистрация объекта - землеустроительный комитет. Регистрация прав собственности, которая проводится Федеральной службой государственной регистрации, кадастра и картографии (</w:t>
      </w:r>
      <w:proofErr w:type="spellStart"/>
      <w:r w:rsidRPr="00EF5E00">
        <w:rPr>
          <w:rFonts w:eastAsia="Calibri" w:cs="Times New Roman"/>
          <w:sz w:val="28"/>
          <w:szCs w:val="28"/>
        </w:rPr>
        <w:t>Росреестр</w:t>
      </w:r>
      <w:proofErr w:type="spellEnd"/>
      <w:r w:rsidRPr="00EF5E00">
        <w:rPr>
          <w:rFonts w:eastAsia="Calibri" w:cs="Times New Roman"/>
          <w:sz w:val="28"/>
          <w:szCs w:val="28"/>
        </w:rPr>
        <w:t xml:space="preserve">), и налоговая регистрация, которую проводят налоговые органы. </w:t>
      </w:r>
    </w:p>
    <w:p w14:paraId="702898E5" w14:textId="77777777" w:rsidR="00EF5E00" w:rsidRPr="00EF5E00" w:rsidRDefault="00EF5E00" w:rsidP="00EF5E00">
      <w:pPr>
        <w:numPr>
          <w:ilvl w:val="0"/>
          <w:numId w:val="11"/>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Рабочая и государственная приемка СМР. Принимает комитет по строительству и архитектуре, представитель администрации района города, заказчик, подрядчик, проектировщик, надзорные органы, пожарники, СЭС и представители эксплуатирующей объект организации.</w:t>
      </w:r>
    </w:p>
    <w:p w14:paraId="607E71F1" w14:textId="77777777" w:rsidR="00EF5E00" w:rsidRPr="00EF5E00" w:rsidRDefault="00EF5E00" w:rsidP="00EF5E00">
      <w:pPr>
        <w:tabs>
          <w:tab w:val="left" w:pos="9900"/>
        </w:tabs>
        <w:spacing w:line="360" w:lineRule="auto"/>
        <w:ind w:right="-284"/>
        <w:jc w:val="center"/>
        <w:outlineLvl w:val="0"/>
        <w:rPr>
          <w:rFonts w:eastAsia="Calibri" w:cs="Times New Roman"/>
          <w:b/>
          <w:i/>
          <w:sz w:val="28"/>
          <w:szCs w:val="28"/>
        </w:rPr>
      </w:pPr>
      <w:r w:rsidRPr="00EF5E00">
        <w:rPr>
          <w:rFonts w:eastAsia="Calibri" w:cs="Times New Roman"/>
          <w:b/>
          <w:i/>
          <w:sz w:val="28"/>
          <w:szCs w:val="28"/>
        </w:rPr>
        <w:t>1.3 Инженерные изыскания и отвод земельного участка</w:t>
      </w:r>
    </w:p>
    <w:p w14:paraId="6DE601FD"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В соответствии со ст. 9 ГК РФ запрещается разработка, согласование, утверждение и реализация градостроительной документации без учета материалов комплексных инженерных изысканий. </w:t>
      </w:r>
    </w:p>
    <w:p w14:paraId="2BE74624"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Отвод земельного участка для строительства производится в соответствии с требованиями Гражданского, Земельного и Градостроительного кодексов РФ.</w:t>
      </w:r>
    </w:p>
    <w:p w14:paraId="627A9709"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В соответствии со ст. 263 ГК РФ собственник земельного участка (физ. или юр. лицо) может возводить на нем здания и сооружения, осуществлять их перестройку и снос на основе градостроительного планирования. При этом основным юридическим документом, определяющим застройку и благоустройство территории, является генеральный план поселения. Собственник земельного участка может разрешить строительство на своем земельном участке другим лицам с выдачей разрешения в письменной форме. </w:t>
      </w:r>
    </w:p>
    <w:p w14:paraId="14012ACF"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Ст. 30 ЗК РФ регламентирует порядок предоставления земельных участков для строительства из земель, находящихся в государственной или муниципальной собственности. Предоставление земельных участков осуществляется как с предварительным согласованием мест размещения объектов, так и без него.</w:t>
      </w:r>
    </w:p>
    <w:p w14:paraId="0BD40851"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Предоставление земельных участков для строительства в собственность без предварительного согласования мест размещения объектов осуществляется исключительно на торгах (конкурсах, аукционах). После торгов заключают договор купли-продажи земельного участка. Переход права собственности на земельный участок подлежит государственной регистрации, удостоверяемой Свидетельством о государственной регистрации. Предметом торгов может быть также право на заключение договора аренды. В этом случае заключают договор аренды земельного участка.</w:t>
      </w:r>
    </w:p>
    <w:p w14:paraId="604FB8FB"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Предоставление земельных участков для строительства с предварительным согласованием мест размещения объектов осуществляется не в собственность, а в аренду юридическим и физическим лицам. По этой же статье такое предоставление земельных участков допускается в постоянное (бессрочное) пользование государственным и муниципальным учреждениям, федеральным казенным предприятиям, органам государственной власти и органы местного самоуправления.</w:t>
      </w:r>
    </w:p>
    <w:p w14:paraId="6D785FCE"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В соответствии со ст. 31 ЗК РФ решение о предварительном согласовании места размещения объекта, утверждающее акт о выборе земельного участка или об отказе в размещении объекта, принимает исполнительный орган государственной власти или орган местного самоуправления. Копия решения о предварительном согласовании места размещения объекта с приложением проекта границ земельного участка или об отказе в размещении объекта выдается заявителю в семидневный срок со дня его утверждения. Решение о предварительном согласовании является основанием последующего принятия решения о предоставлении земельного участка для строительства и действует в течение трех лет.</w:t>
      </w:r>
    </w:p>
    <w:p w14:paraId="3E004DE2"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Необходимая информация о разрешенном использовании земельных участков и об обеспечении этих земельных участков объектами инженерной, транспортной и социальной инфраструктур, тех. условия подключения объектов к сетям инженерно-технического обеспечения предоставляются бесплатно соответствующими государственными органами, органами местного самоуправления, муниципальными организациями в двухнедельный срок со дня получения запроса от органа местного самоуправления.</w:t>
      </w:r>
    </w:p>
    <w:p w14:paraId="2CB8AE3F" w14:textId="77777777" w:rsidR="00EF5E00" w:rsidRPr="00EF5E00" w:rsidRDefault="00EF5E00" w:rsidP="00EF5E00">
      <w:pPr>
        <w:tabs>
          <w:tab w:val="left" w:pos="9900"/>
        </w:tabs>
        <w:spacing w:line="360" w:lineRule="auto"/>
        <w:ind w:right="-284"/>
        <w:jc w:val="center"/>
        <w:outlineLvl w:val="0"/>
        <w:rPr>
          <w:rFonts w:eastAsia="Calibri" w:cs="Times New Roman"/>
          <w:b/>
          <w:i/>
          <w:sz w:val="28"/>
          <w:szCs w:val="28"/>
        </w:rPr>
      </w:pPr>
      <w:r w:rsidRPr="00EF5E00">
        <w:rPr>
          <w:rFonts w:eastAsia="Calibri" w:cs="Times New Roman"/>
          <w:b/>
          <w:i/>
          <w:sz w:val="28"/>
          <w:szCs w:val="28"/>
        </w:rPr>
        <w:t>1.4 Разработка проектной документация</w:t>
      </w:r>
    </w:p>
    <w:p w14:paraId="440163E1"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В соответствии с Градостроительным кодексом строительство зданий, строений и сооружений осуществляется на основе </w:t>
      </w:r>
      <w:r w:rsidRPr="00EF5E00">
        <w:rPr>
          <w:rFonts w:eastAsia="Calibri" w:cs="Times New Roman"/>
          <w:i/>
          <w:sz w:val="28"/>
          <w:szCs w:val="28"/>
          <w:u w:val="single"/>
        </w:rPr>
        <w:t>проектной документации</w:t>
      </w:r>
      <w:r w:rsidRPr="00EF5E00">
        <w:rPr>
          <w:rFonts w:eastAsia="Calibri" w:cs="Times New Roman"/>
          <w:sz w:val="28"/>
          <w:szCs w:val="28"/>
        </w:rPr>
        <w:t xml:space="preserve"> – графических и текстовых материалов, определяющих объемно-планировочные, конструктивные и технические решения для строительства объектов, а также благоустройство земельных участков.</w:t>
      </w:r>
    </w:p>
    <w:p w14:paraId="04618309"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Проект на строительство объектов жилищно-гражданского назначения состоит из следующих разделов:</w:t>
      </w:r>
    </w:p>
    <w:p w14:paraId="2BECB102"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общая пояснительная запис</w:t>
      </w:r>
      <w:bookmarkStart w:id="4" w:name="OCRUncertain882"/>
      <w:r w:rsidRPr="00EF5E00">
        <w:rPr>
          <w:rFonts w:eastAsia="Calibri" w:cs="Times New Roman"/>
          <w:sz w:val="28"/>
          <w:szCs w:val="28"/>
        </w:rPr>
        <w:t>к</w:t>
      </w:r>
      <w:bookmarkStart w:id="5" w:name="OCRUncertain883"/>
      <w:bookmarkEnd w:id="4"/>
      <w:r w:rsidRPr="00EF5E00">
        <w:rPr>
          <w:rFonts w:eastAsia="Calibri" w:cs="Times New Roman"/>
          <w:sz w:val="28"/>
          <w:szCs w:val="28"/>
        </w:rPr>
        <w:t>а;</w:t>
      </w:r>
    </w:p>
    <w:p w14:paraId="324F712B"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архитектурно-строительные</w:t>
      </w:r>
      <w:bookmarkEnd w:id="5"/>
      <w:r w:rsidRPr="00EF5E00">
        <w:rPr>
          <w:rFonts w:eastAsia="Calibri" w:cs="Times New Roman"/>
          <w:sz w:val="28"/>
          <w:szCs w:val="28"/>
        </w:rPr>
        <w:t xml:space="preserve"> решения;</w:t>
      </w:r>
    </w:p>
    <w:p w14:paraId="2CB5577D"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технологические решения;</w:t>
      </w:r>
    </w:p>
    <w:p w14:paraId="43EA1A38"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решения по инженерному оборудованию;</w:t>
      </w:r>
    </w:p>
    <w:p w14:paraId="06FCBEF3"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охрана окружающей среды;</w:t>
      </w:r>
    </w:p>
    <w:p w14:paraId="29361345"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инженерно-технические мероприятия граж</w:t>
      </w:r>
      <w:bookmarkStart w:id="6" w:name="OCRUncertain941"/>
      <w:r w:rsidRPr="00EF5E00">
        <w:rPr>
          <w:rFonts w:eastAsia="Calibri" w:cs="Times New Roman"/>
          <w:sz w:val="28"/>
          <w:szCs w:val="28"/>
        </w:rPr>
        <w:t>д</w:t>
      </w:r>
      <w:bookmarkEnd w:id="6"/>
      <w:r w:rsidRPr="00EF5E00">
        <w:rPr>
          <w:rFonts w:eastAsia="Calibri" w:cs="Times New Roman"/>
          <w:sz w:val="28"/>
          <w:szCs w:val="28"/>
        </w:rPr>
        <w:t>анско</w:t>
      </w:r>
      <w:bookmarkStart w:id="7" w:name="OCRUncertain942"/>
      <w:r w:rsidRPr="00EF5E00">
        <w:rPr>
          <w:rFonts w:eastAsia="Calibri" w:cs="Times New Roman"/>
          <w:sz w:val="28"/>
          <w:szCs w:val="28"/>
        </w:rPr>
        <w:t>й</w:t>
      </w:r>
      <w:bookmarkEnd w:id="7"/>
      <w:r w:rsidRPr="00EF5E00">
        <w:rPr>
          <w:rFonts w:eastAsia="Calibri" w:cs="Times New Roman"/>
          <w:sz w:val="28"/>
          <w:szCs w:val="28"/>
        </w:rPr>
        <w:t xml:space="preserve"> о</w:t>
      </w:r>
      <w:bookmarkStart w:id="8" w:name="OCRUncertain943"/>
      <w:r w:rsidRPr="00EF5E00">
        <w:rPr>
          <w:rFonts w:eastAsia="Calibri" w:cs="Times New Roman"/>
          <w:sz w:val="28"/>
          <w:szCs w:val="28"/>
        </w:rPr>
        <w:t>бо</w:t>
      </w:r>
      <w:bookmarkEnd w:id="8"/>
      <w:r w:rsidRPr="00EF5E00">
        <w:rPr>
          <w:rFonts w:eastAsia="Calibri" w:cs="Times New Roman"/>
          <w:sz w:val="28"/>
          <w:szCs w:val="28"/>
        </w:rPr>
        <w:t>роны;  мероприятия по предупрежде</w:t>
      </w:r>
      <w:bookmarkStart w:id="9" w:name="OCRUncertain944"/>
      <w:r w:rsidRPr="00EF5E00">
        <w:rPr>
          <w:rFonts w:eastAsia="Calibri" w:cs="Times New Roman"/>
          <w:sz w:val="28"/>
          <w:szCs w:val="28"/>
        </w:rPr>
        <w:t>н</w:t>
      </w:r>
      <w:bookmarkEnd w:id="9"/>
      <w:r w:rsidRPr="00EF5E00">
        <w:rPr>
          <w:rFonts w:eastAsia="Calibri" w:cs="Times New Roman"/>
          <w:sz w:val="28"/>
          <w:szCs w:val="28"/>
        </w:rPr>
        <w:t>ию чрезвыча</w:t>
      </w:r>
      <w:bookmarkStart w:id="10" w:name="OCRUncertain945"/>
      <w:r w:rsidRPr="00EF5E00">
        <w:rPr>
          <w:rFonts w:eastAsia="Calibri" w:cs="Times New Roman"/>
          <w:sz w:val="28"/>
          <w:szCs w:val="28"/>
        </w:rPr>
        <w:t>й</w:t>
      </w:r>
      <w:bookmarkEnd w:id="10"/>
      <w:r w:rsidRPr="00EF5E00">
        <w:rPr>
          <w:rFonts w:eastAsia="Calibri" w:cs="Times New Roman"/>
          <w:sz w:val="28"/>
          <w:szCs w:val="28"/>
        </w:rPr>
        <w:t>ных ситуац</w:t>
      </w:r>
      <w:bookmarkStart w:id="11" w:name="OCRUncertain946"/>
      <w:r w:rsidRPr="00EF5E00">
        <w:rPr>
          <w:rFonts w:eastAsia="Calibri" w:cs="Times New Roman"/>
          <w:sz w:val="28"/>
          <w:szCs w:val="28"/>
        </w:rPr>
        <w:t>и</w:t>
      </w:r>
      <w:bookmarkEnd w:id="11"/>
      <w:r w:rsidRPr="00EF5E00">
        <w:rPr>
          <w:rFonts w:eastAsia="Calibri" w:cs="Times New Roman"/>
          <w:sz w:val="28"/>
          <w:szCs w:val="28"/>
        </w:rPr>
        <w:t>й;</w:t>
      </w:r>
    </w:p>
    <w:p w14:paraId="1A8E113D"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сметная документация;</w:t>
      </w:r>
    </w:p>
    <w:p w14:paraId="57381C76"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эффективность инв</w:t>
      </w:r>
      <w:bookmarkStart w:id="12" w:name="OCRUncertain948"/>
      <w:r w:rsidRPr="00EF5E00">
        <w:rPr>
          <w:rFonts w:eastAsia="Calibri" w:cs="Times New Roman"/>
          <w:sz w:val="28"/>
          <w:szCs w:val="28"/>
        </w:rPr>
        <w:t>е</w:t>
      </w:r>
      <w:bookmarkEnd w:id="12"/>
      <w:r w:rsidRPr="00EF5E00">
        <w:rPr>
          <w:rFonts w:eastAsia="Calibri" w:cs="Times New Roman"/>
          <w:sz w:val="28"/>
          <w:szCs w:val="28"/>
        </w:rPr>
        <w:t>стиций (при необходимости)</w:t>
      </w:r>
      <w:bookmarkStart w:id="13" w:name="OCRUncertain949"/>
      <w:r w:rsidRPr="00EF5E00">
        <w:rPr>
          <w:rFonts w:eastAsia="Calibri" w:cs="Times New Roman"/>
          <w:sz w:val="28"/>
          <w:szCs w:val="28"/>
        </w:rPr>
        <w:t>.</w:t>
      </w:r>
      <w:bookmarkEnd w:id="13"/>
    </w:p>
    <w:p w14:paraId="1EA8C9C3"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Согласно СНиП 11-01-95 «О порядке разработки, согласования, утверждения и составе проектной документации на строительство предприятий, зданий и сооружений»</w:t>
      </w:r>
      <w:bookmarkStart w:id="14" w:name="OCRUncertain191"/>
      <w:r w:rsidRPr="00EF5E00">
        <w:rPr>
          <w:rFonts w:eastAsia="Calibri" w:cs="Times New Roman"/>
          <w:sz w:val="28"/>
          <w:szCs w:val="28"/>
        </w:rPr>
        <w:t xml:space="preserve"> разработка проектной доку</w:t>
      </w:r>
      <w:bookmarkStart w:id="15" w:name="OCRUncertain326"/>
      <w:r w:rsidRPr="00EF5E00">
        <w:rPr>
          <w:rFonts w:eastAsia="Calibri" w:cs="Times New Roman"/>
          <w:sz w:val="28"/>
          <w:szCs w:val="28"/>
        </w:rPr>
        <w:t>м</w:t>
      </w:r>
      <w:bookmarkEnd w:id="15"/>
      <w:r w:rsidRPr="00EF5E00">
        <w:rPr>
          <w:rFonts w:eastAsia="Calibri" w:cs="Times New Roman"/>
          <w:sz w:val="28"/>
          <w:szCs w:val="28"/>
        </w:rPr>
        <w:t>ента</w:t>
      </w:r>
      <w:bookmarkStart w:id="16" w:name="OCRUncertain327"/>
      <w:r w:rsidRPr="00EF5E00">
        <w:rPr>
          <w:rFonts w:eastAsia="Calibri" w:cs="Times New Roman"/>
          <w:sz w:val="28"/>
          <w:szCs w:val="28"/>
        </w:rPr>
        <w:t>ц</w:t>
      </w:r>
      <w:bookmarkEnd w:id="16"/>
      <w:r w:rsidRPr="00EF5E00">
        <w:rPr>
          <w:rFonts w:eastAsia="Calibri" w:cs="Times New Roman"/>
          <w:sz w:val="28"/>
          <w:szCs w:val="28"/>
        </w:rPr>
        <w:t>ии осуществляется при наличии утвержденного решения о предваритель</w:t>
      </w:r>
      <w:bookmarkStart w:id="17" w:name="OCRUncertain328"/>
      <w:r w:rsidRPr="00EF5E00">
        <w:rPr>
          <w:rFonts w:eastAsia="Calibri" w:cs="Times New Roman"/>
          <w:sz w:val="28"/>
          <w:szCs w:val="28"/>
        </w:rPr>
        <w:t>н</w:t>
      </w:r>
      <w:bookmarkEnd w:id="17"/>
      <w:r w:rsidRPr="00EF5E00">
        <w:rPr>
          <w:rFonts w:eastAsia="Calibri" w:cs="Times New Roman"/>
          <w:sz w:val="28"/>
          <w:szCs w:val="28"/>
        </w:rPr>
        <w:t>ом согласован</w:t>
      </w:r>
      <w:bookmarkStart w:id="18" w:name="OCRUncertain329"/>
      <w:r w:rsidRPr="00EF5E00">
        <w:rPr>
          <w:rFonts w:eastAsia="Calibri" w:cs="Times New Roman"/>
          <w:sz w:val="28"/>
          <w:szCs w:val="28"/>
        </w:rPr>
        <w:t>и</w:t>
      </w:r>
      <w:bookmarkEnd w:id="18"/>
      <w:r w:rsidRPr="00EF5E00">
        <w:rPr>
          <w:rFonts w:eastAsia="Calibri" w:cs="Times New Roman"/>
          <w:sz w:val="28"/>
          <w:szCs w:val="28"/>
        </w:rPr>
        <w:t>и места размещения объекта, на основе утвержде</w:t>
      </w:r>
      <w:bookmarkStart w:id="19" w:name="OCRUncertain330"/>
      <w:r w:rsidRPr="00EF5E00">
        <w:rPr>
          <w:rFonts w:eastAsia="Calibri" w:cs="Times New Roman"/>
          <w:sz w:val="28"/>
          <w:szCs w:val="28"/>
        </w:rPr>
        <w:t>н</w:t>
      </w:r>
      <w:bookmarkEnd w:id="19"/>
      <w:r w:rsidRPr="00EF5E00">
        <w:rPr>
          <w:rFonts w:eastAsia="Calibri" w:cs="Times New Roman"/>
          <w:sz w:val="28"/>
          <w:szCs w:val="28"/>
        </w:rPr>
        <w:t xml:space="preserve">ных (одобренных) обоснований инвестиций в строительство или иных </w:t>
      </w:r>
      <w:bookmarkStart w:id="20" w:name="OCRUncertain331"/>
      <w:proofErr w:type="spellStart"/>
      <w:r w:rsidRPr="00EF5E00">
        <w:rPr>
          <w:rFonts w:eastAsia="Calibri" w:cs="Times New Roman"/>
          <w:sz w:val="28"/>
          <w:szCs w:val="28"/>
        </w:rPr>
        <w:t>предпроектных</w:t>
      </w:r>
      <w:bookmarkEnd w:id="20"/>
      <w:proofErr w:type="spellEnd"/>
      <w:r w:rsidRPr="00EF5E00">
        <w:rPr>
          <w:rFonts w:eastAsia="Calibri" w:cs="Times New Roman"/>
          <w:sz w:val="28"/>
          <w:szCs w:val="28"/>
        </w:rPr>
        <w:t xml:space="preserve"> материалов, договора, </w:t>
      </w:r>
      <w:bookmarkStart w:id="21" w:name="OCRUncertain332"/>
      <w:r w:rsidRPr="00EF5E00">
        <w:rPr>
          <w:rFonts w:eastAsia="Calibri" w:cs="Times New Roman"/>
          <w:sz w:val="28"/>
          <w:szCs w:val="28"/>
        </w:rPr>
        <w:t>задания</w:t>
      </w:r>
      <w:bookmarkEnd w:id="21"/>
      <w:r w:rsidRPr="00EF5E00">
        <w:rPr>
          <w:rFonts w:eastAsia="Calibri" w:cs="Times New Roman"/>
          <w:sz w:val="28"/>
          <w:szCs w:val="28"/>
        </w:rPr>
        <w:t xml:space="preserve"> на проект</w:t>
      </w:r>
      <w:bookmarkStart w:id="22" w:name="OCRUncertain333"/>
      <w:r w:rsidRPr="00EF5E00">
        <w:rPr>
          <w:rFonts w:eastAsia="Calibri" w:cs="Times New Roman"/>
          <w:sz w:val="28"/>
          <w:szCs w:val="28"/>
        </w:rPr>
        <w:t>и</w:t>
      </w:r>
      <w:bookmarkEnd w:id="22"/>
      <w:r w:rsidRPr="00EF5E00">
        <w:rPr>
          <w:rFonts w:eastAsia="Calibri" w:cs="Times New Roman"/>
          <w:sz w:val="28"/>
          <w:szCs w:val="28"/>
        </w:rPr>
        <w:t>ро</w:t>
      </w:r>
      <w:bookmarkStart w:id="23" w:name="OCRUncertain334"/>
      <w:r w:rsidRPr="00EF5E00">
        <w:rPr>
          <w:rFonts w:eastAsia="Calibri" w:cs="Times New Roman"/>
          <w:sz w:val="28"/>
          <w:szCs w:val="28"/>
        </w:rPr>
        <w:t>в</w:t>
      </w:r>
      <w:bookmarkEnd w:id="23"/>
      <w:r w:rsidRPr="00EF5E00">
        <w:rPr>
          <w:rFonts w:eastAsia="Calibri" w:cs="Times New Roman"/>
          <w:sz w:val="28"/>
          <w:szCs w:val="28"/>
        </w:rPr>
        <w:t>ание и материалов инженер</w:t>
      </w:r>
      <w:bookmarkStart w:id="24" w:name="OCRUncertain335"/>
      <w:r w:rsidRPr="00EF5E00">
        <w:rPr>
          <w:rFonts w:eastAsia="Calibri" w:cs="Times New Roman"/>
          <w:sz w:val="28"/>
          <w:szCs w:val="28"/>
        </w:rPr>
        <w:t>н</w:t>
      </w:r>
      <w:bookmarkEnd w:id="24"/>
      <w:r w:rsidRPr="00EF5E00">
        <w:rPr>
          <w:rFonts w:eastAsia="Calibri" w:cs="Times New Roman"/>
          <w:sz w:val="28"/>
          <w:szCs w:val="28"/>
        </w:rPr>
        <w:t xml:space="preserve">ых </w:t>
      </w:r>
      <w:bookmarkStart w:id="25" w:name="OCRUncertain336"/>
      <w:r w:rsidRPr="00EF5E00">
        <w:rPr>
          <w:rFonts w:eastAsia="Calibri" w:cs="Times New Roman"/>
          <w:sz w:val="28"/>
          <w:szCs w:val="28"/>
        </w:rPr>
        <w:t>и</w:t>
      </w:r>
      <w:bookmarkEnd w:id="25"/>
      <w:r w:rsidRPr="00EF5E00">
        <w:rPr>
          <w:rFonts w:eastAsia="Calibri" w:cs="Times New Roman"/>
          <w:sz w:val="28"/>
          <w:szCs w:val="28"/>
        </w:rPr>
        <w:t>зысканий.</w:t>
      </w:r>
      <w:bookmarkStart w:id="26" w:name="OCRUncertain258"/>
      <w:r w:rsidRPr="00EF5E00">
        <w:rPr>
          <w:rFonts w:eastAsia="Calibri" w:cs="Times New Roman"/>
          <w:sz w:val="28"/>
          <w:szCs w:val="28"/>
        </w:rPr>
        <w:t xml:space="preserve"> </w:t>
      </w:r>
      <w:bookmarkEnd w:id="14"/>
      <w:bookmarkEnd w:id="26"/>
    </w:p>
    <w:p w14:paraId="4C511116"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Утвержденная в установленном порядке проектная документация является основанием для выдачи разрешения на строительство. В соответствии со ст. 62 </w:t>
      </w:r>
      <w:proofErr w:type="spellStart"/>
      <w:r w:rsidRPr="00EF5E00">
        <w:rPr>
          <w:rFonts w:eastAsia="Calibri" w:cs="Times New Roman"/>
          <w:sz w:val="28"/>
          <w:szCs w:val="28"/>
        </w:rPr>
        <w:t>ГрК</w:t>
      </w:r>
      <w:proofErr w:type="spellEnd"/>
      <w:r w:rsidRPr="00EF5E00">
        <w:rPr>
          <w:rFonts w:eastAsia="Calibri" w:cs="Times New Roman"/>
          <w:sz w:val="28"/>
          <w:szCs w:val="28"/>
        </w:rPr>
        <w:t xml:space="preserve"> РФ для получения такого разрешения требуется подтверждение права на земельный участок и наличие утвержденной проектной документации. Органы архитектуры и градостроительства готовят документы для выдачи разрешений на строительство органом местного самоуправления. Разрешение на строительство и утвержденная проектная документация регистрируют в органах местного самоуправления.</w:t>
      </w:r>
    </w:p>
    <w:p w14:paraId="5D094B43" w14:textId="77777777" w:rsidR="00EF5E00" w:rsidRPr="00EF5E00" w:rsidRDefault="00EF5E00" w:rsidP="00EF5E00">
      <w:pPr>
        <w:tabs>
          <w:tab w:val="left" w:pos="9900"/>
        </w:tab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Разработка проектной документации принята на основании следующих документов:</w:t>
      </w:r>
    </w:p>
    <w:p w14:paraId="4899341D" w14:textId="77777777" w:rsidR="00EF5E00" w:rsidRPr="00EF5E00" w:rsidRDefault="00EF5E00" w:rsidP="00EF5E00">
      <w:pPr>
        <w:numPr>
          <w:ilvl w:val="0"/>
          <w:numId w:val="1"/>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Распоряжение мэрии «Об утверждении проекта границ земельного участка»;</w:t>
      </w:r>
    </w:p>
    <w:p w14:paraId="38711028" w14:textId="77777777" w:rsidR="00EF5E00" w:rsidRPr="00EF5E00" w:rsidRDefault="00EF5E00" w:rsidP="00EF5E00">
      <w:pPr>
        <w:numPr>
          <w:ilvl w:val="0"/>
          <w:numId w:val="1"/>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Протокол об итогах аукциона</w:t>
      </w:r>
    </w:p>
    <w:p w14:paraId="64859D47" w14:textId="77777777" w:rsidR="00EF5E00" w:rsidRPr="00EF5E00" w:rsidRDefault="00EF5E00" w:rsidP="00EF5E00">
      <w:pPr>
        <w:numPr>
          <w:ilvl w:val="0"/>
          <w:numId w:val="1"/>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СП 42.13330-2011 «Градостроительство, планировка и застройка городских и сельских поселений»;</w:t>
      </w:r>
    </w:p>
    <w:p w14:paraId="74EFA952" w14:textId="77777777" w:rsidR="00EF5E00" w:rsidRPr="00EF5E00" w:rsidRDefault="00EF5E00" w:rsidP="00EF5E00">
      <w:pPr>
        <w:numPr>
          <w:ilvl w:val="0"/>
          <w:numId w:val="1"/>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Федеральный закон от 22.07.08 № 123-ФЗ «Технический регламент о требованиях пожарной безопасности»;</w:t>
      </w:r>
    </w:p>
    <w:p w14:paraId="293FAAA6" w14:textId="77777777" w:rsidR="00EF5E00" w:rsidRPr="00EF5E00" w:rsidRDefault="00EF5E00" w:rsidP="00EF5E00">
      <w:pPr>
        <w:numPr>
          <w:ilvl w:val="0"/>
          <w:numId w:val="1"/>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Федеральный закон от 30.12.2009 № 384-ФЗ «Технический регламент о безопасности зданий и сооружений».</w:t>
      </w:r>
    </w:p>
    <w:p w14:paraId="0A825F86" w14:textId="77777777" w:rsidR="00EF5E00" w:rsidRPr="00EF5E00" w:rsidRDefault="00EF5E00" w:rsidP="00EF5E00">
      <w:pPr>
        <w:tabs>
          <w:tab w:val="left" w:pos="9900"/>
        </w:tab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Проектная документация разработана на основании следующих документов:</w:t>
      </w:r>
    </w:p>
    <w:p w14:paraId="46975A84" w14:textId="77777777" w:rsidR="00EF5E00" w:rsidRPr="00EF5E00" w:rsidRDefault="00EF5E00" w:rsidP="00EF5E00">
      <w:pPr>
        <w:numPr>
          <w:ilvl w:val="0"/>
          <w:numId w:val="2"/>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 xml:space="preserve">Технические условия на диспетчеризацию лифтов </w:t>
      </w:r>
    </w:p>
    <w:p w14:paraId="377854B1" w14:textId="77777777" w:rsidR="00EF5E00" w:rsidRPr="00EF5E00" w:rsidRDefault="00EF5E00" w:rsidP="00EF5E00">
      <w:pPr>
        <w:numPr>
          <w:ilvl w:val="0"/>
          <w:numId w:val="2"/>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 xml:space="preserve">Технические условия на телефонизацию ОАО «Ростелеком» </w:t>
      </w:r>
    </w:p>
    <w:p w14:paraId="1E55E2DE" w14:textId="77777777" w:rsidR="00EF5E00" w:rsidRPr="00EF5E00" w:rsidRDefault="00EF5E00" w:rsidP="00EF5E00">
      <w:pPr>
        <w:numPr>
          <w:ilvl w:val="0"/>
          <w:numId w:val="2"/>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 xml:space="preserve">Технические условия на радиофикацию ОАО «Сибирьтелеком» </w:t>
      </w:r>
    </w:p>
    <w:p w14:paraId="5FED2CF2" w14:textId="77777777" w:rsidR="00EF5E00" w:rsidRPr="00EF5E00" w:rsidRDefault="00EF5E00" w:rsidP="00EF5E00">
      <w:pPr>
        <w:numPr>
          <w:ilvl w:val="0"/>
          <w:numId w:val="2"/>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 xml:space="preserve">Экспертное заключение по отводу земельного участка ФГУЗ «Центр гигиены и эпидемиологии» </w:t>
      </w:r>
    </w:p>
    <w:p w14:paraId="28E23900" w14:textId="77777777" w:rsidR="00EF5E00" w:rsidRPr="00EF5E00" w:rsidRDefault="00EF5E00" w:rsidP="00EF5E00">
      <w:pPr>
        <w:numPr>
          <w:ilvl w:val="0"/>
          <w:numId w:val="2"/>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 xml:space="preserve">Технические условия ГОЧС </w:t>
      </w:r>
    </w:p>
    <w:p w14:paraId="09B17CDC" w14:textId="77777777" w:rsidR="00EF5E00" w:rsidRPr="00EF5E00" w:rsidRDefault="00EF5E00" w:rsidP="00EF5E00">
      <w:pPr>
        <w:numPr>
          <w:ilvl w:val="0"/>
          <w:numId w:val="2"/>
        </w:numPr>
        <w:tabs>
          <w:tab w:val="left" w:pos="9900"/>
        </w:tabs>
        <w:suppressAutoHyphens/>
        <w:spacing w:line="360" w:lineRule="auto"/>
        <w:ind w:left="284" w:right="-3" w:hanging="284"/>
        <w:jc w:val="both"/>
        <w:outlineLvl w:val="0"/>
        <w:rPr>
          <w:rFonts w:eastAsia="Calibri" w:cs="Times New Roman"/>
          <w:b/>
          <w:i/>
          <w:sz w:val="28"/>
          <w:szCs w:val="28"/>
        </w:rPr>
      </w:pPr>
      <w:r w:rsidRPr="00EF5E00">
        <w:rPr>
          <w:rFonts w:eastAsia="Calibri" w:cs="Times New Roman"/>
          <w:sz w:val="28"/>
          <w:szCs w:val="28"/>
        </w:rPr>
        <w:t xml:space="preserve">Технические условия на теплоснабжение </w:t>
      </w:r>
    </w:p>
    <w:p w14:paraId="790FBED0" w14:textId="77777777" w:rsidR="00EF5E00" w:rsidRPr="00EF5E00" w:rsidRDefault="00EF5E00" w:rsidP="00EF5E00">
      <w:pPr>
        <w:tabs>
          <w:tab w:val="left" w:pos="9900"/>
        </w:tabs>
        <w:spacing w:line="360" w:lineRule="auto"/>
        <w:ind w:right="-284"/>
        <w:jc w:val="center"/>
        <w:outlineLvl w:val="0"/>
        <w:rPr>
          <w:rFonts w:eastAsia="Calibri" w:cs="Times New Roman"/>
          <w:b/>
          <w:i/>
          <w:sz w:val="28"/>
          <w:szCs w:val="28"/>
        </w:rPr>
      </w:pPr>
      <w:r w:rsidRPr="00EF5E00">
        <w:rPr>
          <w:rFonts w:eastAsia="Calibri" w:cs="Times New Roman"/>
          <w:b/>
          <w:i/>
          <w:sz w:val="28"/>
          <w:szCs w:val="28"/>
        </w:rPr>
        <w:t>1.5 Получение технических условий</w:t>
      </w:r>
    </w:p>
    <w:p w14:paraId="6C1828EC" w14:textId="77777777" w:rsidR="00EF5E00" w:rsidRPr="00EF5E00" w:rsidRDefault="00EF5E00" w:rsidP="00EF5E00">
      <w:pPr>
        <w:tabs>
          <w:tab w:val="left" w:pos="9900"/>
        </w:tabs>
        <w:spacing w:line="360" w:lineRule="auto"/>
        <w:ind w:right="-3" w:firstLine="567"/>
        <w:jc w:val="both"/>
        <w:outlineLvl w:val="0"/>
        <w:rPr>
          <w:rFonts w:eastAsia="Calibri" w:cs="Times New Roman"/>
          <w:b/>
          <w:i/>
          <w:sz w:val="28"/>
          <w:szCs w:val="28"/>
        </w:rPr>
      </w:pPr>
      <w:r w:rsidRPr="00EF5E00">
        <w:rPr>
          <w:rFonts w:eastAsia="Calibri" w:cs="Times New Roman"/>
          <w:sz w:val="28"/>
          <w:szCs w:val="28"/>
        </w:rPr>
        <w:t>При намерении осуществить строительство объекта правообладатель земельного участка обязан получить технические условия подключения объекта к сетям инженерно-технического обеспечения.</w:t>
      </w:r>
    </w:p>
    <w:p w14:paraId="75E6CD35"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i/>
          <w:sz w:val="28"/>
          <w:szCs w:val="28"/>
          <w:u w:val="single"/>
        </w:rPr>
        <w:t>Технические условия</w:t>
      </w:r>
      <w:r w:rsidRPr="00EF5E00">
        <w:rPr>
          <w:rFonts w:eastAsia="Calibri" w:cs="Times New Roman"/>
          <w:sz w:val="28"/>
          <w:szCs w:val="28"/>
        </w:rPr>
        <w:t xml:space="preserve"> - документ, необходимый для получения разрешения на подключение всех видов коммуникаций.</w:t>
      </w:r>
    </w:p>
    <w:p w14:paraId="325B649D"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 Технические условия содержат в себе информацию о схемах подключения и о том, какие работы должны быть выполнены для осуществления подключения к коммуникациям. </w:t>
      </w:r>
    </w:p>
    <w:p w14:paraId="772FA656"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Подготовка и выдача технических условий осуществляется организациями, осуществляющими эксплуатацию сетей инженерно-технического обеспечения в соответствии правилами, утвержденными Постановлением Правительства РФ от 13.02.2006 №83.</w:t>
      </w:r>
    </w:p>
    <w:p w14:paraId="7A0D2022"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Процедура получения технических условий предполагает осуществление следующих мероприятий:</w:t>
      </w:r>
    </w:p>
    <w:p w14:paraId="6496B1F5"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 Выполнение расчетов предельно допустимых нагрузок энергоресурсов в соответствии с планируемыми параметрами строительства объекта;</w:t>
      </w:r>
    </w:p>
    <w:p w14:paraId="0435FCB8"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 xml:space="preserve">- </w:t>
      </w:r>
      <w:r w:rsidRPr="00EF5E00">
        <w:rPr>
          <w:rFonts w:eastAsia="Calibri" w:cs="Times New Roman"/>
          <w:sz w:val="28"/>
          <w:szCs w:val="28"/>
        </w:rPr>
        <w:t>Подготовка запросов на получение технических условий с приложением необходимых документов;</w:t>
      </w:r>
    </w:p>
    <w:p w14:paraId="262CC3DC"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Представление запросов на получение технических условий в организации, осуществляющие эксплуатацию сетей инженерно-технического обеспечения;</w:t>
      </w:r>
    </w:p>
    <w:p w14:paraId="1E629E6C"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Получение технических условий на подключение к сетям инженерно-технического обеспечения.</w:t>
      </w:r>
    </w:p>
    <w:p w14:paraId="4864645C"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Тех условия состоят из вводной части и расположенных в определенной последовательности разделов: </w:t>
      </w:r>
    </w:p>
    <w:p w14:paraId="4E6AF011"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1. Технические требования; </w:t>
      </w:r>
    </w:p>
    <w:p w14:paraId="7788A36D"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2. Требования безопасности; </w:t>
      </w:r>
    </w:p>
    <w:p w14:paraId="4FF271FA"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3. Требования охраны окружающей среды; </w:t>
      </w:r>
    </w:p>
    <w:p w14:paraId="230B5485"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4. Правила приемки; </w:t>
      </w:r>
    </w:p>
    <w:p w14:paraId="04B63DD9"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5. Методы контроля; </w:t>
      </w:r>
    </w:p>
    <w:p w14:paraId="5E6F64E7"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6. Правила транспортирования и хранения; </w:t>
      </w:r>
    </w:p>
    <w:p w14:paraId="727EDF29" w14:textId="77777777" w:rsidR="00EF5E00" w:rsidRPr="00EF5E00" w:rsidRDefault="00EF5E00" w:rsidP="00EF5E00">
      <w:pPr>
        <w:tabs>
          <w:tab w:val="left" w:pos="9900"/>
        </w:tabs>
        <w:spacing w:line="360" w:lineRule="auto"/>
        <w:ind w:right="-284" w:firstLine="567"/>
        <w:jc w:val="both"/>
        <w:outlineLvl w:val="0"/>
        <w:rPr>
          <w:rFonts w:eastAsia="Calibri" w:cs="Times New Roman"/>
          <w:sz w:val="28"/>
          <w:szCs w:val="28"/>
        </w:rPr>
      </w:pPr>
      <w:r w:rsidRPr="00EF5E00">
        <w:rPr>
          <w:rFonts w:eastAsia="Calibri" w:cs="Times New Roman"/>
          <w:sz w:val="28"/>
          <w:szCs w:val="28"/>
        </w:rPr>
        <w:t xml:space="preserve">7. Указания по эксплуатации; </w:t>
      </w:r>
    </w:p>
    <w:p w14:paraId="084421A8" w14:textId="77777777" w:rsidR="00EF5E00" w:rsidRPr="00EF5E00" w:rsidRDefault="00EF5E00" w:rsidP="00EF5E00">
      <w:pPr>
        <w:tabs>
          <w:tab w:val="left" w:pos="9900"/>
        </w:tabs>
        <w:spacing w:line="360" w:lineRule="auto"/>
        <w:ind w:right="-284" w:firstLine="567"/>
        <w:jc w:val="both"/>
        <w:outlineLvl w:val="0"/>
        <w:rPr>
          <w:rFonts w:eastAsia="Calibri" w:cs="Times New Roman"/>
          <w:sz w:val="28"/>
          <w:szCs w:val="28"/>
        </w:rPr>
      </w:pPr>
      <w:r w:rsidRPr="00EF5E00">
        <w:rPr>
          <w:rFonts w:eastAsia="Calibri" w:cs="Times New Roman"/>
          <w:sz w:val="28"/>
          <w:szCs w:val="28"/>
        </w:rPr>
        <w:t xml:space="preserve">8. Гарантии изготовителя.  </w:t>
      </w:r>
    </w:p>
    <w:p w14:paraId="38CBE3F4"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Технические условия подключения объекта к сетям инженерно-технического обеспечения для рассматриваемого объекта недвижимости включают следующие:</w:t>
      </w:r>
    </w:p>
    <w:p w14:paraId="00F4CAC8" w14:textId="77777777" w:rsidR="00EF5E00" w:rsidRPr="00EF5E00" w:rsidRDefault="00EF5E00" w:rsidP="00EF5E00">
      <w:pPr>
        <w:tabs>
          <w:tab w:val="left" w:pos="9900"/>
        </w:tabs>
        <w:spacing w:line="360" w:lineRule="auto"/>
        <w:ind w:right="-3"/>
        <w:jc w:val="center"/>
        <w:outlineLvl w:val="0"/>
        <w:rPr>
          <w:rFonts w:eastAsia="Calibri" w:cs="Times New Roman"/>
          <w:b/>
          <w:i/>
          <w:sz w:val="28"/>
          <w:szCs w:val="28"/>
        </w:rPr>
      </w:pPr>
      <w:r w:rsidRPr="00EF5E00">
        <w:rPr>
          <w:rFonts w:eastAsia="Calibri" w:cs="Times New Roman"/>
          <w:b/>
          <w:i/>
          <w:sz w:val="28"/>
          <w:szCs w:val="28"/>
        </w:rPr>
        <w:t>1.6 Разрешение на строительство</w:t>
      </w:r>
    </w:p>
    <w:p w14:paraId="4A14048A"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i/>
          <w:sz w:val="28"/>
          <w:szCs w:val="28"/>
          <w:u w:val="single"/>
        </w:rPr>
        <w:t>Разрешение на строительство</w:t>
      </w:r>
      <w:r w:rsidRPr="00EF5E00">
        <w:rPr>
          <w:rFonts w:eastAsia="Calibri" w:cs="Times New Roman"/>
          <w:sz w:val="28"/>
          <w:szCs w:val="28"/>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 ремонт.</w:t>
      </w:r>
    </w:p>
    <w:p w14:paraId="7CFF1093"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Разрешение на строительство выдается уполномоченными федеральным органом исполнительной власти, органом исполнительной власти субъекта РФ или органом местного самоуправления для строительства, реконструкции, капитального ремонта объектов капитального строительства федерального, регионального или местного значения, при размещении которых допускается изъятие, в том числе путем выкупа, земельных участков.</w:t>
      </w:r>
    </w:p>
    <w:p w14:paraId="602BD907"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Разрешение на строительство выдается бесплатно за исключением случаев, когда взимание платы за выдачу разрешений предусмотрено законодательством РФ или законодательством субъектов РФ.</w:t>
      </w:r>
    </w:p>
    <w:p w14:paraId="0D31C4AD"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Орган, осуществляющий подготовку и оформление документов для выдачи разрешений на строительство, в срок не более одного месяца рассматривает заявление и принимает решение о выдаче или отказе в выдаче разрешения. </w:t>
      </w:r>
    </w:p>
    <w:p w14:paraId="4952E03D"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Разрешение на строительство выдается на срок не более чем три года и может быть продлено на основании заявления заказчика. Порядок и срок продления действия разрешения на строительство устанавливаются органами местного самоуправления.</w:t>
      </w:r>
    </w:p>
    <w:p w14:paraId="0B715144"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В целях строительства, реконструкции, капитального ремонта объекта капитального строительства застройщик направляет в уполномоченные органы исполнительной власти заявление о выдаче разрешения на строительство. К указанному заявлению прилагаются следующие документы:</w:t>
      </w:r>
    </w:p>
    <w:p w14:paraId="15474DA9"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1) правоустанавливающие документы на земельный участок;</w:t>
      </w:r>
    </w:p>
    <w:p w14:paraId="6B7B0975"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2) градостроительный план земельного участка:</w:t>
      </w:r>
    </w:p>
    <w:p w14:paraId="6A26CF21"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3) материалы, содержащиеся в проектной документации:</w:t>
      </w:r>
    </w:p>
    <w:p w14:paraId="6DE5081E"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    а) пояснительная записка;</w:t>
      </w:r>
    </w:p>
    <w:p w14:paraId="06754CA8"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    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14:paraId="5D0A6FEB"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    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14:paraId="74746E9F"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   г) схемы, отображающие архитектурные решения;</w:t>
      </w:r>
    </w:p>
    <w:p w14:paraId="31C4CB50"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   д) сведения об инженерном оборудовании,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инженерно-технического обеспечения;</w:t>
      </w:r>
    </w:p>
    <w:p w14:paraId="65B89826"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   е) проект организации строительства объекта капитального строительства;</w:t>
      </w:r>
    </w:p>
    <w:p w14:paraId="75B1CCB5"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   ж) проект организации работ по сносу или демонтажу объектов капитального строительства, их частей;</w:t>
      </w:r>
    </w:p>
    <w:p w14:paraId="410732F7"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4) положительное заключение государственной экспертизы проектной документации;</w:t>
      </w:r>
    </w:p>
    <w:p w14:paraId="4C3B0745"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w:t>
      </w:r>
    </w:p>
    <w:p w14:paraId="0F92BE3B"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6) согласие всех правообладателей объекта капитального строительства в случае реконструкции такого объекта.</w:t>
      </w:r>
    </w:p>
    <w:p w14:paraId="0B98A0F3"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Уполномоченные на выдачу разрешений на строительство федеральный орган исполнительной власти, орган исполнительной власти субъекта РФ или орган местного самоуправления в течение десяти дней со дня получения заявления о выдаче разрешения на строительство:</w:t>
      </w:r>
    </w:p>
    <w:p w14:paraId="796330A3"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1) проводят проверку наличия документов, прилагаемых к заявлению;</w:t>
      </w:r>
    </w:p>
    <w:p w14:paraId="6D4DDD6A"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2) проводят проверку соответствия проектной документации требованиям градостроительного плана земельного участка, красным линиям;</w:t>
      </w:r>
    </w:p>
    <w:p w14:paraId="5F34239E"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3) выдают разрешение на строительство или отказывают в выдаче такого разрешения с указанием причин отказа.</w:t>
      </w:r>
    </w:p>
    <w:p w14:paraId="6E4744D4" w14:textId="77777777" w:rsidR="00EF5E00" w:rsidRPr="00EF5E00" w:rsidRDefault="00EF5E00" w:rsidP="00EF5E00">
      <w:pPr>
        <w:tabs>
          <w:tab w:val="left" w:pos="9900"/>
        </w:tabs>
        <w:spacing w:line="360" w:lineRule="auto"/>
        <w:ind w:right="-3" w:firstLine="567"/>
        <w:jc w:val="both"/>
        <w:outlineLvl w:val="0"/>
        <w:rPr>
          <w:rFonts w:eastAsia="Calibri" w:cs="Times New Roman"/>
          <w:b/>
          <w:bCs/>
          <w:sz w:val="28"/>
          <w:szCs w:val="28"/>
        </w:rPr>
      </w:pPr>
      <w:r w:rsidRPr="00EF5E00">
        <w:rPr>
          <w:rFonts w:eastAsia="Calibri" w:cs="Times New Roman"/>
          <w:sz w:val="28"/>
          <w:szCs w:val="28"/>
        </w:rPr>
        <w:t>Отказ в выдаче разрешения на строительство может быть оспорен застройщиком в судебном порядке.</w:t>
      </w:r>
    </w:p>
    <w:p w14:paraId="3F287074"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Разрешение на строительство является основанием для начала строительства. В процессе строительства лицо, осуществляющее строительство, или застройщик (заказчик), обязаны осуществлять строительный контроль в течение всего срока строительства.</w:t>
      </w:r>
    </w:p>
    <w:p w14:paraId="0D6EDA4D" w14:textId="77777777" w:rsidR="00EF5E00" w:rsidRPr="00EF5E00" w:rsidRDefault="00EF5E00" w:rsidP="00EF5E00">
      <w:pPr>
        <w:tabs>
          <w:tab w:val="left" w:pos="9900"/>
        </w:tabs>
        <w:spacing w:line="360" w:lineRule="auto"/>
        <w:ind w:right="-3"/>
        <w:jc w:val="center"/>
        <w:outlineLvl w:val="0"/>
        <w:rPr>
          <w:rFonts w:eastAsia="Calibri" w:cs="Times New Roman"/>
          <w:b/>
          <w:i/>
          <w:sz w:val="28"/>
          <w:szCs w:val="28"/>
        </w:rPr>
      </w:pPr>
      <w:r w:rsidRPr="00EF5E00">
        <w:rPr>
          <w:rFonts w:eastAsia="Calibri" w:cs="Times New Roman"/>
          <w:b/>
          <w:i/>
          <w:sz w:val="28"/>
          <w:szCs w:val="28"/>
        </w:rPr>
        <w:t>1.7 Технический и авторский надзор</w:t>
      </w:r>
    </w:p>
    <w:p w14:paraId="70B96C60"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i/>
          <w:sz w:val="28"/>
          <w:szCs w:val="28"/>
          <w:u w:val="single"/>
        </w:rPr>
        <w:t>Технический надзор</w:t>
      </w:r>
      <w:r w:rsidRPr="00EF5E00">
        <w:rPr>
          <w:rFonts w:eastAsia="Calibri" w:cs="Times New Roman"/>
          <w:b/>
          <w:sz w:val="28"/>
          <w:szCs w:val="28"/>
        </w:rPr>
        <w:t xml:space="preserve"> </w:t>
      </w:r>
      <w:r w:rsidRPr="00EF5E00">
        <w:rPr>
          <w:rFonts w:eastAsia="Calibri" w:cs="Times New Roman"/>
          <w:sz w:val="28"/>
          <w:szCs w:val="28"/>
        </w:rPr>
        <w:t>(стр. контроль) за строительством осуществляется в интересах Заказчика строительства с целью обеспечения контроля качества строительства и имеет целью постоянное проведение оценки соответствия строящегося объекта требованиям к его безопасности, установленным техническими регламентами, а также нормативными документами и стандартами, являющимися доказательной базой соблюдения требований технических регламентов и подтверждением возможности безопасной эксплуатации объекта при последующей передачи его в эксплуатацию.</w:t>
      </w:r>
    </w:p>
    <w:p w14:paraId="147F85C1" w14:textId="77777777" w:rsidR="00EF5E00" w:rsidRPr="00EF5E00" w:rsidRDefault="00EF5E00" w:rsidP="00EF5E00">
      <w:pPr>
        <w:tabs>
          <w:tab w:val="left" w:pos="9900"/>
        </w:tabs>
        <w:spacing w:line="360" w:lineRule="auto"/>
        <w:ind w:right="-3" w:firstLine="567"/>
        <w:jc w:val="both"/>
        <w:outlineLvl w:val="0"/>
        <w:rPr>
          <w:rFonts w:eastAsia="Calibri" w:cs="Times New Roman"/>
          <w:i/>
          <w:sz w:val="28"/>
          <w:szCs w:val="28"/>
          <w:lang w:val="en-US"/>
        </w:rPr>
      </w:pPr>
      <w:r w:rsidRPr="00EF5E00">
        <w:rPr>
          <w:rFonts w:eastAsia="Calibri" w:cs="Times New Roman"/>
          <w:i/>
          <w:sz w:val="28"/>
          <w:szCs w:val="28"/>
        </w:rPr>
        <w:t>Цели технического надзора</w:t>
      </w:r>
      <w:r w:rsidRPr="00EF5E00">
        <w:rPr>
          <w:rFonts w:eastAsia="Calibri" w:cs="Times New Roman"/>
          <w:i/>
          <w:sz w:val="28"/>
          <w:szCs w:val="28"/>
          <w:lang w:val="en-US"/>
        </w:rPr>
        <w:t>:</w:t>
      </w:r>
    </w:p>
    <w:p w14:paraId="7B3AFFB9" w14:textId="77777777" w:rsidR="00EF5E00" w:rsidRPr="00EF5E00" w:rsidRDefault="00EF5E00" w:rsidP="00EF5E00">
      <w:pPr>
        <w:numPr>
          <w:ilvl w:val="0"/>
          <w:numId w:val="3"/>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Обеспечение выполнения проекта без превышения сметной стоимости строительства.</w:t>
      </w:r>
    </w:p>
    <w:p w14:paraId="21714868" w14:textId="77777777" w:rsidR="00EF5E00" w:rsidRPr="00EF5E00" w:rsidRDefault="00EF5E00" w:rsidP="00EF5E00">
      <w:pPr>
        <w:numPr>
          <w:ilvl w:val="0"/>
          <w:numId w:val="3"/>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Обеспечение применения строительных материалов, указанных в проекте строительства.</w:t>
      </w:r>
    </w:p>
    <w:p w14:paraId="11F37C59" w14:textId="77777777" w:rsidR="00EF5E00" w:rsidRPr="00EF5E00" w:rsidRDefault="00EF5E00" w:rsidP="00EF5E00">
      <w:pPr>
        <w:numPr>
          <w:ilvl w:val="0"/>
          <w:numId w:val="3"/>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Обеспечение выполнения проекта строительства в заданные сроки и в заданном объеме.</w:t>
      </w:r>
    </w:p>
    <w:p w14:paraId="44F62F82" w14:textId="77777777" w:rsidR="00EF5E00" w:rsidRPr="00EF5E00" w:rsidRDefault="00EF5E00" w:rsidP="00EF5E00">
      <w:pPr>
        <w:numPr>
          <w:ilvl w:val="0"/>
          <w:numId w:val="3"/>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Обеспечение высокого качества строительства.</w:t>
      </w:r>
    </w:p>
    <w:p w14:paraId="33896B83" w14:textId="77777777" w:rsidR="00EF5E00" w:rsidRPr="00EF5E00" w:rsidRDefault="00EF5E00" w:rsidP="00EF5E00">
      <w:pPr>
        <w:tabs>
          <w:tab w:val="left" w:pos="9900"/>
        </w:tabs>
        <w:spacing w:line="360" w:lineRule="auto"/>
        <w:ind w:left="284" w:right="-3" w:hanging="284"/>
        <w:jc w:val="both"/>
        <w:outlineLvl w:val="0"/>
        <w:rPr>
          <w:rFonts w:eastAsia="Calibri" w:cs="Times New Roman"/>
          <w:sz w:val="28"/>
          <w:szCs w:val="28"/>
        </w:rPr>
      </w:pPr>
      <w:r w:rsidRPr="00EF5E00">
        <w:rPr>
          <w:rFonts w:eastAsia="Calibri" w:cs="Times New Roman"/>
          <w:i/>
          <w:sz w:val="28"/>
          <w:szCs w:val="28"/>
        </w:rPr>
        <w:t>Областями применения технадзора</w:t>
      </w:r>
      <w:r w:rsidRPr="00EF5E00">
        <w:rPr>
          <w:rFonts w:eastAsia="Calibri" w:cs="Times New Roman"/>
          <w:sz w:val="28"/>
          <w:szCs w:val="28"/>
        </w:rPr>
        <w:t xml:space="preserve"> являются строительство, ремонт и реконструкция зданий и сооружений:</w:t>
      </w:r>
    </w:p>
    <w:p w14:paraId="39EE5FE6" w14:textId="77777777" w:rsidR="00EF5E00" w:rsidRPr="00EF5E00" w:rsidRDefault="00EF5E00" w:rsidP="00EF5E00">
      <w:pPr>
        <w:tabs>
          <w:tab w:val="left" w:pos="9900"/>
        </w:tabs>
        <w:spacing w:line="360" w:lineRule="auto"/>
        <w:ind w:left="284" w:right="-3" w:hanging="284"/>
        <w:jc w:val="both"/>
        <w:outlineLvl w:val="0"/>
        <w:rPr>
          <w:rFonts w:eastAsia="Calibri" w:cs="Times New Roman"/>
          <w:i/>
          <w:sz w:val="28"/>
          <w:szCs w:val="28"/>
        </w:rPr>
      </w:pPr>
      <w:r w:rsidRPr="00EF5E00">
        <w:rPr>
          <w:rFonts w:eastAsia="Calibri" w:cs="Times New Roman"/>
          <w:i/>
          <w:sz w:val="28"/>
          <w:szCs w:val="28"/>
        </w:rPr>
        <w:t>Порядок проведения технадзора строительства:</w:t>
      </w:r>
    </w:p>
    <w:p w14:paraId="08E1D632" w14:textId="77777777" w:rsidR="00EF5E00" w:rsidRPr="00EF5E00" w:rsidRDefault="00EF5E00" w:rsidP="00EF5E00">
      <w:pPr>
        <w:tabs>
          <w:tab w:val="left" w:pos="9900"/>
        </w:tab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Технический надзор (технадзор) строительства осуществляется рабочей группой, назначаемой в соответствии с требованиями проекта и состоящей из специалистов различного профиля:</w:t>
      </w:r>
    </w:p>
    <w:p w14:paraId="5AE2F542" w14:textId="77777777" w:rsidR="00EF5E00" w:rsidRPr="00EF5E00" w:rsidRDefault="00EF5E00" w:rsidP="00EF5E00">
      <w:pPr>
        <w:numPr>
          <w:ilvl w:val="0"/>
          <w:numId w:val="4"/>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инженер по общестроительным работам</w:t>
      </w:r>
      <w:r w:rsidRPr="00EF5E00">
        <w:rPr>
          <w:rFonts w:eastAsia="Calibri" w:cs="Times New Roman"/>
          <w:sz w:val="28"/>
          <w:szCs w:val="28"/>
          <w:lang w:val="en-US"/>
        </w:rPr>
        <w:t>;</w:t>
      </w:r>
    </w:p>
    <w:p w14:paraId="4FE7CE8D" w14:textId="77777777" w:rsidR="00EF5E00" w:rsidRPr="00EF5E00" w:rsidRDefault="00EF5E00" w:rsidP="00EF5E00">
      <w:pPr>
        <w:numPr>
          <w:ilvl w:val="0"/>
          <w:numId w:val="4"/>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инженер по электрическим сетям</w:t>
      </w:r>
      <w:r w:rsidRPr="00EF5E00">
        <w:rPr>
          <w:rFonts w:eastAsia="Calibri" w:cs="Times New Roman"/>
          <w:sz w:val="28"/>
          <w:szCs w:val="28"/>
          <w:lang w:val="en-US"/>
        </w:rPr>
        <w:t>;</w:t>
      </w:r>
    </w:p>
    <w:p w14:paraId="0AEBCE71" w14:textId="77777777" w:rsidR="00EF5E00" w:rsidRPr="00EF5E00" w:rsidRDefault="00EF5E00" w:rsidP="00EF5E00">
      <w:pPr>
        <w:numPr>
          <w:ilvl w:val="0"/>
          <w:numId w:val="4"/>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инженер сантехнических систем</w:t>
      </w:r>
      <w:r w:rsidRPr="00EF5E00">
        <w:rPr>
          <w:rFonts w:eastAsia="Calibri" w:cs="Times New Roman"/>
          <w:sz w:val="28"/>
          <w:szCs w:val="28"/>
          <w:lang w:val="en-US"/>
        </w:rPr>
        <w:t>;</w:t>
      </w:r>
    </w:p>
    <w:p w14:paraId="135B8904" w14:textId="77777777" w:rsidR="00EF5E00" w:rsidRPr="00EF5E00" w:rsidRDefault="00EF5E00" w:rsidP="00EF5E00">
      <w:pPr>
        <w:numPr>
          <w:ilvl w:val="0"/>
          <w:numId w:val="4"/>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инженер систем вентиляции и кондиционирования;</w:t>
      </w:r>
    </w:p>
    <w:p w14:paraId="39A40844" w14:textId="77777777" w:rsidR="00EF5E00" w:rsidRPr="00EF5E00" w:rsidRDefault="00EF5E00" w:rsidP="00EF5E00">
      <w:pPr>
        <w:numPr>
          <w:ilvl w:val="0"/>
          <w:numId w:val="4"/>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специалист по анализу и составлению сметной документации;</w:t>
      </w:r>
    </w:p>
    <w:p w14:paraId="64DDD9D0" w14:textId="77777777" w:rsidR="00EF5E00" w:rsidRPr="00EF5E00" w:rsidRDefault="00EF5E00" w:rsidP="00EF5E00">
      <w:pPr>
        <w:numPr>
          <w:ilvl w:val="0"/>
          <w:numId w:val="4"/>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инженер-проектировщик</w:t>
      </w:r>
      <w:r w:rsidRPr="00EF5E00">
        <w:rPr>
          <w:rFonts w:eastAsia="Calibri" w:cs="Times New Roman"/>
          <w:sz w:val="28"/>
          <w:szCs w:val="28"/>
          <w:lang w:val="en-US"/>
        </w:rPr>
        <w:t>.</w:t>
      </w:r>
    </w:p>
    <w:p w14:paraId="2DF9FAD9"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Назначенная группа осуществляет наблюдение и контроль за проведением строительных работ на объекте с частотой, задаваемой требованиями проекта и уровнем сложности объекта. По каждому посещению объекта составляются отчетные материалы о ходе реализации проекта, включающие:</w:t>
      </w:r>
    </w:p>
    <w:p w14:paraId="6A191B17" w14:textId="77777777" w:rsidR="00EF5E00" w:rsidRPr="00EF5E00" w:rsidRDefault="00EF5E00" w:rsidP="00EF5E00">
      <w:pPr>
        <w:numPr>
          <w:ilvl w:val="0"/>
          <w:numId w:val="5"/>
        </w:numPr>
        <w:tabs>
          <w:tab w:val="left" w:pos="9900"/>
        </w:tabs>
        <w:suppressAutoHyphens/>
        <w:spacing w:line="360" w:lineRule="auto"/>
        <w:ind w:left="284" w:right="-284" w:hanging="284"/>
        <w:jc w:val="both"/>
        <w:outlineLvl w:val="0"/>
        <w:rPr>
          <w:rFonts w:eastAsia="Calibri" w:cs="Times New Roman"/>
          <w:sz w:val="28"/>
          <w:szCs w:val="28"/>
        </w:rPr>
      </w:pPr>
      <w:r w:rsidRPr="00EF5E00">
        <w:rPr>
          <w:rFonts w:eastAsia="Calibri" w:cs="Times New Roman"/>
          <w:sz w:val="28"/>
          <w:szCs w:val="28"/>
        </w:rPr>
        <w:t>описание выявленных дефектов и нарушений;</w:t>
      </w:r>
    </w:p>
    <w:p w14:paraId="60312D67" w14:textId="77777777" w:rsidR="00EF5E00" w:rsidRPr="00EF5E00" w:rsidRDefault="00EF5E00" w:rsidP="00EF5E00">
      <w:pPr>
        <w:numPr>
          <w:ilvl w:val="0"/>
          <w:numId w:val="5"/>
        </w:numPr>
        <w:tabs>
          <w:tab w:val="left" w:pos="9900"/>
        </w:tabs>
        <w:suppressAutoHyphen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выдержки из нормативной и технической документации, подтверждающие наличие выявленных нарушений;</w:t>
      </w:r>
    </w:p>
    <w:p w14:paraId="59A79F69" w14:textId="77777777" w:rsidR="00EF5E00" w:rsidRPr="00EF5E00" w:rsidRDefault="00EF5E00" w:rsidP="00EF5E00">
      <w:pPr>
        <w:numPr>
          <w:ilvl w:val="0"/>
          <w:numId w:val="5"/>
        </w:numPr>
        <w:tabs>
          <w:tab w:val="left" w:pos="9900"/>
        </w:tabs>
        <w:suppressAutoHyphens/>
        <w:spacing w:line="360" w:lineRule="auto"/>
        <w:ind w:left="284" w:right="-284" w:hanging="284"/>
        <w:jc w:val="both"/>
        <w:outlineLvl w:val="0"/>
        <w:rPr>
          <w:rFonts w:eastAsia="Calibri" w:cs="Times New Roman"/>
          <w:sz w:val="28"/>
          <w:szCs w:val="28"/>
        </w:rPr>
      </w:pPr>
      <w:r w:rsidRPr="00EF5E00">
        <w:rPr>
          <w:rFonts w:eastAsia="Calibri" w:cs="Times New Roman"/>
          <w:sz w:val="28"/>
          <w:szCs w:val="28"/>
        </w:rPr>
        <w:t>фотоматериалы</w:t>
      </w:r>
      <w:r w:rsidRPr="00EF5E00">
        <w:rPr>
          <w:rFonts w:eastAsia="Calibri" w:cs="Times New Roman"/>
          <w:sz w:val="28"/>
          <w:szCs w:val="28"/>
          <w:lang w:val="en-US"/>
        </w:rPr>
        <w:t>;</w:t>
      </w:r>
    </w:p>
    <w:p w14:paraId="0E9B5491" w14:textId="77777777" w:rsidR="00EF5E00" w:rsidRPr="00EF5E00" w:rsidRDefault="00EF5E00" w:rsidP="00EF5E00">
      <w:pPr>
        <w:numPr>
          <w:ilvl w:val="0"/>
          <w:numId w:val="5"/>
        </w:numPr>
        <w:tabs>
          <w:tab w:val="left" w:pos="9900"/>
        </w:tabs>
        <w:suppressAutoHyphens/>
        <w:spacing w:line="360" w:lineRule="auto"/>
        <w:ind w:left="284" w:right="-284" w:hanging="284"/>
        <w:jc w:val="both"/>
        <w:outlineLvl w:val="0"/>
        <w:rPr>
          <w:rFonts w:eastAsia="Calibri" w:cs="Times New Roman"/>
          <w:sz w:val="28"/>
          <w:szCs w:val="28"/>
        </w:rPr>
      </w:pPr>
      <w:r w:rsidRPr="00EF5E00">
        <w:rPr>
          <w:rFonts w:eastAsia="Calibri" w:cs="Times New Roman"/>
          <w:sz w:val="28"/>
          <w:szCs w:val="28"/>
        </w:rPr>
        <w:t>графики выполнения работ</w:t>
      </w:r>
      <w:r w:rsidRPr="00EF5E00">
        <w:rPr>
          <w:rFonts w:eastAsia="Calibri" w:cs="Times New Roman"/>
          <w:sz w:val="28"/>
          <w:szCs w:val="28"/>
          <w:lang w:val="en-US"/>
        </w:rPr>
        <w:t>;</w:t>
      </w:r>
    </w:p>
    <w:p w14:paraId="7807F4D9" w14:textId="77777777" w:rsidR="00EF5E00" w:rsidRPr="00EF5E00" w:rsidRDefault="00EF5E00" w:rsidP="00EF5E00">
      <w:pPr>
        <w:numPr>
          <w:ilvl w:val="0"/>
          <w:numId w:val="5"/>
        </w:numPr>
        <w:tabs>
          <w:tab w:val="left" w:pos="9900"/>
        </w:tabs>
        <w:suppressAutoHyphens/>
        <w:spacing w:line="360" w:lineRule="auto"/>
        <w:ind w:left="284" w:right="-284" w:hanging="284"/>
        <w:jc w:val="both"/>
        <w:outlineLvl w:val="0"/>
        <w:rPr>
          <w:rFonts w:eastAsia="Calibri" w:cs="Times New Roman"/>
          <w:sz w:val="28"/>
          <w:szCs w:val="28"/>
        </w:rPr>
      </w:pPr>
      <w:r w:rsidRPr="00EF5E00">
        <w:rPr>
          <w:rFonts w:eastAsia="Calibri" w:cs="Times New Roman"/>
          <w:sz w:val="28"/>
          <w:szCs w:val="28"/>
        </w:rPr>
        <w:t>таблицы расхода средств</w:t>
      </w:r>
      <w:r w:rsidRPr="00EF5E00">
        <w:rPr>
          <w:rFonts w:eastAsia="Calibri" w:cs="Times New Roman"/>
          <w:sz w:val="28"/>
          <w:szCs w:val="28"/>
          <w:lang w:val="en-US"/>
        </w:rPr>
        <w:t>.</w:t>
      </w:r>
    </w:p>
    <w:p w14:paraId="64490F2F"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По окончании проекта осуществляется участие в сдаче завершенного объекта Государственной приемочной комиссии.</w:t>
      </w:r>
    </w:p>
    <w:p w14:paraId="61D85CB5"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i/>
          <w:sz w:val="28"/>
          <w:szCs w:val="28"/>
          <w:u w:val="single"/>
        </w:rPr>
        <w:t>Авторский надзор</w:t>
      </w:r>
      <w:r w:rsidRPr="00EF5E00">
        <w:rPr>
          <w:rFonts w:eastAsia="Calibri" w:cs="Times New Roman"/>
          <w:sz w:val="28"/>
          <w:szCs w:val="28"/>
        </w:rPr>
        <w:t xml:space="preserve"> введен с целью обеспечения соответствия решений, содержащихся в рабочей документации, выполняемым СМР на объекте. Проводится проектной организацией, выполнившей проект и рабочие чертежи, на протяжении всего периода строительства и ввода в эксплуатацию объектов.</w:t>
      </w:r>
    </w:p>
    <w:p w14:paraId="44697567"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Авторский надзор проектных организаций осуществляется на основании договора, заключенного заказчиком с проектной организацией - генеральным проектировщиком на весь период строительства объекта. </w:t>
      </w:r>
    </w:p>
    <w:p w14:paraId="1CC9CE9B"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Необходимость проведения авторского надзора определяется заказчиком и устанавливается в задании на проектирование объектов. Авторский надзор является обязательным в случае, когда необходимость осуществления авторского надзора устанавливается законодательством.</w:t>
      </w:r>
    </w:p>
    <w:p w14:paraId="0507D027"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Руководство организацией и проведением авторского надзора за строительством объектов осуществляет главный инженер проекта или главный архитектор. В ходе осуществления авторского надзора работники проектной организации обязаны:</w:t>
      </w:r>
    </w:p>
    <w:p w14:paraId="17C9125B"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производить выборочные проверки соответствия производимых строительных и монтажных работ рабочей документации и требованиям СНиП;</w:t>
      </w:r>
    </w:p>
    <w:p w14:paraId="17D1EAA7"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производить выборочный контроль за качеством и соблюдением технологии производства работ, связанных с обеспечением надежности, прочности, устойчивости и долговечности конструкций и монтажа оборудования;</w:t>
      </w:r>
    </w:p>
    <w:p w14:paraId="6B23C7FB"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своевременно решать вопросы, связанные с необходимостью внесения изменений в рабочую документацию, и производить контроль исполнения;</w:t>
      </w:r>
    </w:p>
    <w:p w14:paraId="56BBD4AE"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информировать заказчика о несвоевременном и некачественном выполнении указаний специалистов авторского надзора для принятия оперативных мер по устранению выявленных отступлений от проекта и нарушений требований нормативных документов;</w:t>
      </w:r>
    </w:p>
    <w:p w14:paraId="7EDAF1A5"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участвовать в освидетельствовании скрываемых работ, от качества которых зависит прочность, устойчивость, надежность и долговечность возводимых зданий и сооружений;</w:t>
      </w:r>
    </w:p>
    <w:p w14:paraId="3075505C"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участвовать в процессе строительства отдельных ответственных конструкций;</w:t>
      </w:r>
    </w:p>
    <w:p w14:paraId="1F98B85C"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регулярно вести журнал авторского надзора.</w:t>
      </w:r>
    </w:p>
    <w:p w14:paraId="40E55A38" w14:textId="77777777" w:rsidR="00EF5E00" w:rsidRPr="00EF5E00" w:rsidRDefault="00EF5E00" w:rsidP="00EF5E00">
      <w:pPr>
        <w:tabs>
          <w:tab w:val="left" w:pos="9900"/>
        </w:tabs>
        <w:spacing w:line="360" w:lineRule="auto"/>
        <w:ind w:right="-3" w:firstLine="567"/>
        <w:jc w:val="both"/>
        <w:outlineLvl w:val="0"/>
        <w:rPr>
          <w:rFonts w:eastAsia="Calibri" w:cs="Times New Roman"/>
          <w:i/>
          <w:sz w:val="28"/>
          <w:szCs w:val="28"/>
        </w:rPr>
      </w:pPr>
      <w:r w:rsidRPr="00EF5E00">
        <w:rPr>
          <w:rFonts w:eastAsia="Calibri" w:cs="Times New Roman"/>
          <w:i/>
          <w:sz w:val="28"/>
          <w:szCs w:val="28"/>
        </w:rPr>
        <w:t>Основные  права специалистов, осуществляющих авторский надзор:</w:t>
      </w:r>
    </w:p>
    <w:p w14:paraId="39C2E40C"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доступ во все строящиеся объекты строительства и места проведения работ;</w:t>
      </w:r>
    </w:p>
    <w:p w14:paraId="04B361B3"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ознакомление с необходимой технической документацией, относящейся к объекту строительства;</w:t>
      </w:r>
    </w:p>
    <w:p w14:paraId="70B7D27C"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контроль за выполнением указаний, внесенных в журнал авторского надзора;</w:t>
      </w:r>
    </w:p>
    <w:p w14:paraId="5712E3AB"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 внесение предложений в органы градостроительства и архитектуры о приостановлении в необходимых случаях строительных и монтажных работ, выполняемых с выявленными нарушениями. </w:t>
      </w:r>
    </w:p>
    <w:p w14:paraId="0AB50472"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Журнал авторского надзора передается заказчику генеральной проектной организацией в сроки, устанавливаемые планом-графиком. Журнал должен быть прошнурован, подписан руководителем проектной организации и заверен подписью и печатью заказчика. Исполнители работ строительной организации и представитель заказчика обязаны фиксировать в журнале исполнение указаний авторского надзора. Каждое посещение объекта строительства специалистами, осуществляющими авторский надзор, фиксируется в журнале.</w:t>
      </w:r>
    </w:p>
    <w:p w14:paraId="5D783D6A"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После приемки объекта в эксплуатацию генеральный подрядчик передает журнал авторского надзора заказчику.</w:t>
      </w:r>
    </w:p>
    <w:p w14:paraId="68D8E798" w14:textId="77777777" w:rsidR="00EF5E00" w:rsidRPr="00EF5E00" w:rsidRDefault="00EF5E00" w:rsidP="00EF5E00">
      <w:pPr>
        <w:tabs>
          <w:tab w:val="left" w:pos="9900"/>
        </w:tabs>
        <w:spacing w:line="360" w:lineRule="auto"/>
        <w:ind w:right="-3"/>
        <w:jc w:val="center"/>
        <w:outlineLvl w:val="0"/>
        <w:rPr>
          <w:rFonts w:eastAsia="Calibri" w:cs="Times New Roman"/>
          <w:b/>
          <w:sz w:val="28"/>
          <w:szCs w:val="28"/>
        </w:rPr>
      </w:pPr>
      <w:r w:rsidRPr="00EF5E00">
        <w:rPr>
          <w:rFonts w:eastAsia="Calibri" w:cs="Times New Roman"/>
          <w:b/>
          <w:sz w:val="28"/>
          <w:szCs w:val="28"/>
        </w:rPr>
        <w:t>1.8 Ввод объекта в эксплуатацию</w:t>
      </w:r>
    </w:p>
    <w:p w14:paraId="6439951F"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По окончании строительства объекта необходимо получить разрешение на ввод в эксплуатацию, представляющее собой документ, который удостоверяет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отремонтированного объекта капитального строительства градостроительному плану земельного участка и проектной документации.</w:t>
      </w:r>
    </w:p>
    <w:p w14:paraId="101ABD7A"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Для ввода объекта в эксплуатацию застройщик обращается в уполномоченный орган исполнительной власти, выдавший разрешение на строительство, с заявлением о выдаче разрешения на ввод объекта в эксплуатацию.</w:t>
      </w:r>
    </w:p>
    <w:p w14:paraId="6CE3A46B"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К заявлению о выдаче разрешения на ввод объекта в эксплуатацию прилагаются следующие документы:</w:t>
      </w:r>
    </w:p>
    <w:p w14:paraId="7427986D"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1) правоустанавливающие документы на земельный участок;</w:t>
      </w:r>
    </w:p>
    <w:p w14:paraId="2E0F7BAB"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2) градостроительный план земельного участка;</w:t>
      </w:r>
    </w:p>
    <w:p w14:paraId="23082285"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3) разрешение на строительство;</w:t>
      </w:r>
    </w:p>
    <w:p w14:paraId="0A21022A"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4) акт приемки объекта капитального строительства (в случае осуществления строительства, реконструкции, капитального ремонта на основании договора);</w:t>
      </w:r>
    </w:p>
    <w:p w14:paraId="2F5CC16D"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5) документ, подтверждающий соответствие построенного, реконструированного, отремонтированного объекта капитального строительства требованиям технических регламентов и подписанный лицом, осуществляющим строительство;</w:t>
      </w:r>
    </w:p>
    <w:p w14:paraId="147546F8"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6) документ, подтверждающий соответствие параметров построенного, реконструированного, отремонтированного объекта капитального строительства проектной документации и подписанный лицом, осуществляющим строительство (лицом, осуществляющим строительство, и застройщиком или заказчиком в случае осуществления строительства, реконструкции, капитального ремонта на основании договора);</w:t>
      </w:r>
    </w:p>
    <w:p w14:paraId="72305FCC"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7) документы, подтверждающие соответствие построенного, реконструированного, отремонтированного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14:paraId="44D80ECB"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8) схема, отображающая расположение построенного, реконструированного, отремонтированного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заказчиком в случае осуществления строительства, реконструкции, капитального ремонта на основании договора);</w:t>
      </w:r>
    </w:p>
    <w:p w14:paraId="2FBC5AFD"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9) заключение органа гос. строительного надзора, органа гос. пожарного надзора (в случае, если предусмотрено осуществление гос. строительного надзора, гос. пожарного надзора) о соответствии построенного, реконструированного, отремонтированного объекта капитального строительства требованиям технических регламентов и проектной документации.</w:t>
      </w:r>
    </w:p>
    <w:p w14:paraId="67FB5C32" w14:textId="77777777" w:rsidR="00EF5E00" w:rsidRPr="00EF5E00" w:rsidRDefault="00EF5E00" w:rsidP="00EF5E00">
      <w:pPr>
        <w:tabs>
          <w:tab w:val="left" w:pos="9900"/>
        </w:tabs>
        <w:spacing w:line="360" w:lineRule="auto"/>
        <w:ind w:left="284" w:right="-3" w:hanging="284"/>
        <w:jc w:val="both"/>
        <w:outlineLvl w:val="0"/>
        <w:rPr>
          <w:rFonts w:eastAsia="Calibri" w:cs="Times New Roman"/>
          <w:sz w:val="28"/>
          <w:szCs w:val="28"/>
        </w:rPr>
      </w:pPr>
      <w:r w:rsidRPr="00EF5E00">
        <w:rPr>
          <w:rFonts w:eastAsia="Calibri" w:cs="Times New Roman"/>
          <w:sz w:val="28"/>
          <w:szCs w:val="28"/>
        </w:rPr>
        <w:t>В приемке объекта в эксплуатацию принимают участие представители:</w:t>
      </w:r>
    </w:p>
    <w:p w14:paraId="310CE486" w14:textId="77777777" w:rsidR="00EF5E00" w:rsidRPr="00EF5E00" w:rsidRDefault="00EF5E00" w:rsidP="00EF5E00">
      <w:pPr>
        <w:numPr>
          <w:ilvl w:val="0"/>
          <w:numId w:val="6"/>
        </w:numPr>
        <w:tabs>
          <w:tab w:val="left" w:pos="9900"/>
        </w:tabs>
        <w:suppressAutoHyphens/>
        <w:spacing w:line="360" w:lineRule="auto"/>
        <w:ind w:left="284" w:right="-284" w:hanging="284"/>
        <w:jc w:val="both"/>
        <w:outlineLvl w:val="0"/>
        <w:rPr>
          <w:rFonts w:eastAsia="Calibri" w:cs="Times New Roman"/>
          <w:sz w:val="28"/>
          <w:szCs w:val="28"/>
        </w:rPr>
      </w:pPr>
      <w:r w:rsidRPr="00EF5E00">
        <w:rPr>
          <w:rFonts w:eastAsia="Calibri" w:cs="Times New Roman"/>
          <w:sz w:val="28"/>
          <w:szCs w:val="28"/>
        </w:rPr>
        <w:t>Заказчика, застройщика, подрядчика.</w:t>
      </w:r>
    </w:p>
    <w:p w14:paraId="56A7B3E8" w14:textId="77777777" w:rsidR="00EF5E00" w:rsidRPr="00EF5E00" w:rsidRDefault="00EF5E00" w:rsidP="00EF5E00">
      <w:pPr>
        <w:numPr>
          <w:ilvl w:val="0"/>
          <w:numId w:val="6"/>
        </w:numPr>
        <w:tabs>
          <w:tab w:val="left" w:pos="9900"/>
        </w:tabs>
        <w:suppressAutoHyphens/>
        <w:spacing w:line="360" w:lineRule="auto"/>
        <w:ind w:left="284" w:right="-284" w:hanging="284"/>
        <w:jc w:val="both"/>
        <w:outlineLvl w:val="0"/>
        <w:rPr>
          <w:rFonts w:eastAsia="Calibri" w:cs="Times New Roman"/>
          <w:sz w:val="28"/>
          <w:szCs w:val="28"/>
        </w:rPr>
      </w:pPr>
      <w:r w:rsidRPr="00EF5E00">
        <w:rPr>
          <w:rFonts w:eastAsia="Calibri" w:cs="Times New Roman"/>
          <w:sz w:val="28"/>
          <w:szCs w:val="28"/>
        </w:rPr>
        <w:t>Проектной организации.</w:t>
      </w:r>
    </w:p>
    <w:p w14:paraId="7AADB334" w14:textId="77777777" w:rsidR="00EF5E00" w:rsidRPr="00EF5E00" w:rsidRDefault="00EF5E00" w:rsidP="00EF5E00">
      <w:pPr>
        <w:numPr>
          <w:ilvl w:val="0"/>
          <w:numId w:val="6"/>
        </w:numPr>
        <w:tabs>
          <w:tab w:val="left" w:pos="9900"/>
        </w:tabs>
        <w:suppressAutoHyphens/>
        <w:spacing w:line="360" w:lineRule="auto"/>
        <w:ind w:left="284" w:right="-284" w:hanging="284"/>
        <w:jc w:val="both"/>
        <w:outlineLvl w:val="0"/>
        <w:rPr>
          <w:rFonts w:eastAsia="Calibri" w:cs="Times New Roman"/>
          <w:sz w:val="28"/>
          <w:szCs w:val="28"/>
        </w:rPr>
      </w:pPr>
      <w:r w:rsidRPr="00EF5E00">
        <w:rPr>
          <w:rFonts w:eastAsia="Calibri" w:cs="Times New Roman"/>
          <w:sz w:val="28"/>
          <w:szCs w:val="28"/>
        </w:rPr>
        <w:t>Администрации района.</w:t>
      </w:r>
    </w:p>
    <w:p w14:paraId="74C0CF9E" w14:textId="77777777" w:rsidR="00EF5E00" w:rsidRPr="00EF5E00" w:rsidRDefault="00EF5E00" w:rsidP="00EF5E00">
      <w:pPr>
        <w:numPr>
          <w:ilvl w:val="0"/>
          <w:numId w:val="6"/>
        </w:numPr>
        <w:tabs>
          <w:tab w:val="left" w:pos="9900"/>
        </w:tabs>
        <w:suppressAutoHyphens/>
        <w:spacing w:line="360" w:lineRule="auto"/>
        <w:ind w:left="284" w:right="-284" w:hanging="284"/>
        <w:jc w:val="both"/>
        <w:outlineLvl w:val="0"/>
        <w:rPr>
          <w:rFonts w:eastAsia="Calibri" w:cs="Times New Roman"/>
          <w:sz w:val="28"/>
          <w:szCs w:val="28"/>
        </w:rPr>
      </w:pPr>
      <w:r w:rsidRPr="00EF5E00">
        <w:rPr>
          <w:rFonts w:eastAsia="Calibri" w:cs="Times New Roman"/>
          <w:sz w:val="28"/>
          <w:szCs w:val="28"/>
        </w:rPr>
        <w:t>Государственный строительный надзор по Новосибирской области.</w:t>
      </w:r>
    </w:p>
    <w:p w14:paraId="23E9D8CF" w14:textId="77777777" w:rsidR="00EF5E00" w:rsidRPr="00EF5E00" w:rsidRDefault="00EF5E00" w:rsidP="00EF5E00">
      <w:pPr>
        <w:numPr>
          <w:ilvl w:val="0"/>
          <w:numId w:val="6"/>
        </w:numPr>
        <w:tabs>
          <w:tab w:val="left" w:pos="9900"/>
        </w:tabs>
        <w:suppressAutoHyphens/>
        <w:spacing w:line="360" w:lineRule="auto"/>
        <w:ind w:left="284" w:right="-284" w:hanging="284"/>
        <w:jc w:val="both"/>
        <w:outlineLvl w:val="0"/>
        <w:rPr>
          <w:rFonts w:eastAsia="Calibri" w:cs="Times New Roman"/>
          <w:sz w:val="28"/>
          <w:szCs w:val="28"/>
        </w:rPr>
      </w:pPr>
      <w:r w:rsidRPr="00EF5E00">
        <w:rPr>
          <w:rFonts w:eastAsia="Calibri" w:cs="Times New Roman"/>
          <w:sz w:val="28"/>
          <w:szCs w:val="28"/>
        </w:rPr>
        <w:t>Управление архитектурно-строительного надзора.</w:t>
      </w:r>
    </w:p>
    <w:p w14:paraId="5D2F5324" w14:textId="77777777" w:rsidR="00EF5E00" w:rsidRPr="00EF5E00" w:rsidRDefault="00EF5E00" w:rsidP="00EF5E00">
      <w:pPr>
        <w:numPr>
          <w:ilvl w:val="0"/>
          <w:numId w:val="6"/>
        </w:numPr>
        <w:tabs>
          <w:tab w:val="left" w:pos="9900"/>
        </w:tabs>
        <w:suppressAutoHyphens/>
        <w:spacing w:line="360" w:lineRule="auto"/>
        <w:ind w:left="284" w:right="-284" w:hanging="284"/>
        <w:jc w:val="both"/>
        <w:outlineLvl w:val="0"/>
        <w:rPr>
          <w:rFonts w:eastAsia="Calibri" w:cs="Times New Roman"/>
          <w:sz w:val="28"/>
          <w:szCs w:val="28"/>
        </w:rPr>
      </w:pPr>
      <w:r w:rsidRPr="00EF5E00">
        <w:rPr>
          <w:rFonts w:eastAsia="Calibri" w:cs="Times New Roman"/>
          <w:sz w:val="28"/>
          <w:szCs w:val="28"/>
        </w:rPr>
        <w:t>МУП «</w:t>
      </w:r>
      <w:proofErr w:type="spellStart"/>
      <w:r w:rsidRPr="00EF5E00">
        <w:rPr>
          <w:rFonts w:eastAsia="Calibri" w:cs="Times New Roman"/>
          <w:sz w:val="28"/>
          <w:szCs w:val="28"/>
        </w:rPr>
        <w:t>Горводоканал</w:t>
      </w:r>
      <w:proofErr w:type="spellEnd"/>
      <w:r w:rsidRPr="00EF5E00">
        <w:rPr>
          <w:rFonts w:eastAsia="Calibri" w:cs="Times New Roman"/>
          <w:sz w:val="28"/>
          <w:szCs w:val="28"/>
        </w:rPr>
        <w:t>».</w:t>
      </w:r>
    </w:p>
    <w:p w14:paraId="7B957307" w14:textId="77777777" w:rsidR="00EF5E00" w:rsidRPr="00EF5E00" w:rsidRDefault="00EF5E00" w:rsidP="00EF5E00">
      <w:pPr>
        <w:numPr>
          <w:ilvl w:val="0"/>
          <w:numId w:val="6"/>
        </w:numPr>
        <w:tabs>
          <w:tab w:val="left" w:pos="9900"/>
        </w:tabs>
        <w:suppressAutoHyphens/>
        <w:spacing w:line="360" w:lineRule="auto"/>
        <w:ind w:left="284" w:right="-284" w:hanging="284"/>
        <w:jc w:val="both"/>
        <w:outlineLvl w:val="0"/>
        <w:rPr>
          <w:rFonts w:eastAsia="Calibri" w:cs="Times New Roman"/>
          <w:sz w:val="28"/>
          <w:szCs w:val="28"/>
        </w:rPr>
      </w:pPr>
      <w:r w:rsidRPr="00EF5E00">
        <w:rPr>
          <w:rFonts w:eastAsia="Calibri" w:cs="Times New Roman"/>
          <w:sz w:val="28"/>
          <w:szCs w:val="28"/>
        </w:rPr>
        <w:t>ОАО «Сибирьтелеком».</w:t>
      </w:r>
    </w:p>
    <w:p w14:paraId="2F6AC36A" w14:textId="77777777" w:rsidR="00EF5E00" w:rsidRPr="00EF5E00" w:rsidRDefault="00EF5E00" w:rsidP="00EF5E00">
      <w:pPr>
        <w:numPr>
          <w:ilvl w:val="0"/>
          <w:numId w:val="6"/>
        </w:numPr>
        <w:tabs>
          <w:tab w:val="left" w:pos="9900"/>
        </w:tabs>
        <w:suppressAutoHyphens/>
        <w:spacing w:line="360" w:lineRule="auto"/>
        <w:ind w:left="284" w:right="-284" w:hanging="284"/>
        <w:jc w:val="both"/>
        <w:outlineLvl w:val="0"/>
        <w:rPr>
          <w:rFonts w:eastAsia="Calibri" w:cs="Times New Roman"/>
          <w:sz w:val="28"/>
          <w:szCs w:val="28"/>
        </w:rPr>
      </w:pPr>
      <w:r w:rsidRPr="00EF5E00">
        <w:rPr>
          <w:rFonts w:eastAsia="Calibri" w:cs="Times New Roman"/>
          <w:sz w:val="28"/>
          <w:szCs w:val="28"/>
        </w:rPr>
        <w:t>ОАО «</w:t>
      </w:r>
      <w:proofErr w:type="spellStart"/>
      <w:r w:rsidRPr="00EF5E00">
        <w:rPr>
          <w:rFonts w:eastAsia="Calibri" w:cs="Times New Roman"/>
          <w:sz w:val="28"/>
          <w:szCs w:val="28"/>
        </w:rPr>
        <w:t>Сибэнерго</w:t>
      </w:r>
      <w:proofErr w:type="spellEnd"/>
      <w:r w:rsidRPr="00EF5E00">
        <w:rPr>
          <w:rFonts w:eastAsia="Calibri" w:cs="Times New Roman"/>
          <w:sz w:val="28"/>
          <w:szCs w:val="28"/>
        </w:rPr>
        <w:t>».</w:t>
      </w:r>
    </w:p>
    <w:p w14:paraId="2DD77454" w14:textId="77777777" w:rsidR="00EF5E00" w:rsidRPr="00EF5E00" w:rsidRDefault="00EF5E00" w:rsidP="00EF5E00">
      <w:pPr>
        <w:numPr>
          <w:ilvl w:val="0"/>
          <w:numId w:val="6"/>
        </w:numPr>
        <w:tabs>
          <w:tab w:val="left" w:pos="9900"/>
        </w:tabs>
        <w:suppressAutoHyphens/>
        <w:spacing w:line="360" w:lineRule="auto"/>
        <w:ind w:left="284" w:right="-284" w:hanging="284"/>
        <w:jc w:val="both"/>
        <w:outlineLvl w:val="0"/>
        <w:rPr>
          <w:rFonts w:eastAsia="Calibri" w:cs="Times New Roman"/>
          <w:sz w:val="28"/>
          <w:szCs w:val="28"/>
        </w:rPr>
      </w:pPr>
      <w:r w:rsidRPr="00EF5E00">
        <w:rPr>
          <w:rFonts w:eastAsia="Calibri" w:cs="Times New Roman"/>
          <w:sz w:val="28"/>
          <w:szCs w:val="28"/>
        </w:rPr>
        <w:t>ОАО «</w:t>
      </w:r>
      <w:proofErr w:type="spellStart"/>
      <w:r w:rsidRPr="00EF5E00">
        <w:rPr>
          <w:rFonts w:eastAsia="Calibri" w:cs="Times New Roman"/>
          <w:sz w:val="28"/>
          <w:szCs w:val="28"/>
        </w:rPr>
        <w:t>Сибтеплоэнерго</w:t>
      </w:r>
      <w:proofErr w:type="spellEnd"/>
      <w:r w:rsidRPr="00EF5E00">
        <w:rPr>
          <w:rFonts w:eastAsia="Calibri" w:cs="Times New Roman"/>
          <w:sz w:val="28"/>
          <w:szCs w:val="28"/>
        </w:rPr>
        <w:t>».</w:t>
      </w:r>
    </w:p>
    <w:p w14:paraId="3D96848C" w14:textId="77777777" w:rsidR="00EF5E00" w:rsidRPr="00EF5E00" w:rsidRDefault="00EF5E00" w:rsidP="00EF5E00">
      <w:pPr>
        <w:numPr>
          <w:ilvl w:val="0"/>
          <w:numId w:val="6"/>
        </w:numPr>
        <w:tabs>
          <w:tab w:val="left" w:pos="9900"/>
        </w:tabs>
        <w:suppressAutoHyphens/>
        <w:spacing w:line="360" w:lineRule="auto"/>
        <w:ind w:left="284" w:right="-284" w:hanging="284"/>
        <w:jc w:val="both"/>
        <w:outlineLvl w:val="0"/>
        <w:rPr>
          <w:rFonts w:eastAsia="Calibri" w:cs="Times New Roman"/>
          <w:sz w:val="28"/>
          <w:szCs w:val="28"/>
        </w:rPr>
      </w:pPr>
      <w:r w:rsidRPr="00EF5E00">
        <w:rPr>
          <w:rFonts w:eastAsia="Calibri" w:cs="Times New Roman"/>
          <w:sz w:val="28"/>
          <w:szCs w:val="28"/>
        </w:rPr>
        <w:t>ЗАО «Региональные электрические сети».</w:t>
      </w:r>
    </w:p>
    <w:p w14:paraId="5267B404" w14:textId="77777777" w:rsidR="00EF5E00" w:rsidRPr="00EF5E00" w:rsidRDefault="00EF5E00" w:rsidP="00EF5E00">
      <w:pPr>
        <w:numPr>
          <w:ilvl w:val="0"/>
          <w:numId w:val="6"/>
        </w:numPr>
        <w:tabs>
          <w:tab w:val="left" w:pos="9900"/>
        </w:tabs>
        <w:suppressAutoHyphens/>
        <w:spacing w:line="360" w:lineRule="auto"/>
        <w:ind w:left="284" w:right="-284" w:hanging="284"/>
        <w:jc w:val="both"/>
        <w:outlineLvl w:val="0"/>
        <w:rPr>
          <w:rFonts w:eastAsia="Calibri" w:cs="Times New Roman"/>
          <w:sz w:val="28"/>
          <w:szCs w:val="28"/>
        </w:rPr>
      </w:pPr>
      <w:r w:rsidRPr="00EF5E00">
        <w:rPr>
          <w:rFonts w:eastAsia="Calibri" w:cs="Times New Roman"/>
          <w:sz w:val="28"/>
          <w:szCs w:val="28"/>
        </w:rPr>
        <w:t>ГУБО Мэрии г. Новосибирска.</w:t>
      </w:r>
    </w:p>
    <w:p w14:paraId="6F71F064" w14:textId="77777777" w:rsidR="00EF5E00" w:rsidRPr="00EF5E00" w:rsidRDefault="00EF5E00" w:rsidP="00EF5E00">
      <w:pPr>
        <w:tabs>
          <w:tab w:val="left" w:pos="9900"/>
        </w:tabs>
        <w:spacing w:line="360" w:lineRule="auto"/>
        <w:ind w:right="-284"/>
        <w:jc w:val="center"/>
        <w:outlineLvl w:val="0"/>
        <w:rPr>
          <w:rFonts w:eastAsia="Calibri" w:cs="Times New Roman"/>
          <w:b/>
          <w:bCs/>
          <w:i/>
          <w:sz w:val="28"/>
          <w:szCs w:val="28"/>
        </w:rPr>
      </w:pPr>
      <w:r w:rsidRPr="00EF5E00">
        <w:rPr>
          <w:rFonts w:eastAsia="Calibri" w:cs="Times New Roman"/>
          <w:b/>
          <w:bCs/>
          <w:i/>
          <w:sz w:val="28"/>
          <w:szCs w:val="28"/>
        </w:rPr>
        <w:t>1.9 Порядок и процедура государственной регистрации</w:t>
      </w:r>
    </w:p>
    <w:p w14:paraId="01201E99"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Государственная регистрация объектов недвижимости осуществляется в Федеральной службе государственной регистрации, кадастра и картографии (</w:t>
      </w:r>
      <w:proofErr w:type="spellStart"/>
      <w:r w:rsidRPr="00EF5E00">
        <w:rPr>
          <w:rFonts w:eastAsia="Calibri" w:cs="Times New Roman"/>
          <w:sz w:val="28"/>
          <w:szCs w:val="28"/>
        </w:rPr>
        <w:t>Росреестр</w:t>
      </w:r>
      <w:proofErr w:type="spellEnd"/>
      <w:r w:rsidRPr="00EF5E00">
        <w:rPr>
          <w:rFonts w:eastAsia="Calibri" w:cs="Times New Roman"/>
          <w:sz w:val="28"/>
          <w:szCs w:val="28"/>
        </w:rPr>
        <w:t xml:space="preserve">). </w:t>
      </w:r>
    </w:p>
    <w:p w14:paraId="48428735"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Государственная регистрация прав проводится на всей территории РФ по установленной системе записей о правах на каждый объект недвижимого имущества в Едином государственном реестре прав на недвижимое имущество и сделок с ним (</w:t>
      </w:r>
      <w:r w:rsidRPr="00EF5E00">
        <w:rPr>
          <w:rFonts w:eastAsia="Calibri" w:cs="Times New Roman"/>
          <w:iCs/>
          <w:sz w:val="28"/>
          <w:szCs w:val="28"/>
        </w:rPr>
        <w:t>ЕГРП), который</w:t>
      </w:r>
      <w:r w:rsidRPr="00EF5E00">
        <w:rPr>
          <w:rFonts w:eastAsia="Calibri" w:cs="Times New Roman"/>
          <w:sz w:val="28"/>
          <w:szCs w:val="28"/>
        </w:rPr>
        <w:t xml:space="preserve"> состоит из отдельных разделов:</w:t>
      </w:r>
    </w:p>
    <w:p w14:paraId="3B49DBDD"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раздел о земле;</w:t>
      </w:r>
    </w:p>
    <w:p w14:paraId="1B8489E6"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раздел о зданиях и сооружениях;</w:t>
      </w:r>
    </w:p>
    <w:p w14:paraId="46AB0383"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раздел о помещениях и иных объектах, входящих в эти здания.</w:t>
      </w:r>
    </w:p>
    <w:p w14:paraId="29B292F4"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Датой гос. регистрации является день внесения записи в ЕГРП. </w:t>
      </w:r>
    </w:p>
    <w:p w14:paraId="42BC76BA"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Права на имущество, подлежащие государственной регистрации, возникают с момента регистрации соответствующих прав на него, если иное не установлено законом. Государственная регистрация осуществляется по месту нахождения недвижимого имущества в пределах регистрационного округа.</w:t>
      </w:r>
    </w:p>
    <w:p w14:paraId="5323A07A"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xml:space="preserve">Порядок регистрации установлен ст. 13 Федерального Закона №122-ФЗ «О государственной регистрации прав </w:t>
      </w:r>
      <w:r w:rsidRPr="00EF5E00">
        <w:rPr>
          <w:rFonts w:eastAsia="Calibri" w:cs="Times New Roman"/>
          <w:iCs/>
          <w:sz w:val="28"/>
          <w:szCs w:val="28"/>
        </w:rPr>
        <w:t xml:space="preserve">на недвижимое имущество и сделок с ним» </w:t>
      </w:r>
      <w:r w:rsidRPr="00EF5E00">
        <w:rPr>
          <w:rFonts w:eastAsia="Calibri" w:cs="Times New Roman"/>
          <w:sz w:val="28"/>
          <w:szCs w:val="28"/>
        </w:rPr>
        <w:t>и предусматривает:</w:t>
      </w:r>
    </w:p>
    <w:p w14:paraId="18D0392C"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1) прием документов, необходимых для государственной регистрации, отвечающих требованиям федерального закона с обязательным приложением документа об оплате, а также регистрация этих документов. В соответствии с федеральным законом №122-ФЗ на гос. регистрацию предоставляются:</w:t>
      </w:r>
    </w:p>
    <w:p w14:paraId="072E0017" w14:textId="77777777" w:rsidR="00EF5E00" w:rsidRPr="00EF5E00" w:rsidRDefault="00EF5E00" w:rsidP="00EF5E00">
      <w:pPr>
        <w:numPr>
          <w:ilvl w:val="0"/>
          <w:numId w:val="7"/>
        </w:numPr>
        <w:tabs>
          <w:tab w:val="clear" w:pos="1495"/>
          <w:tab w:val="num" w:pos="284"/>
          <w:tab w:val="left" w:pos="9900"/>
        </w:tabs>
        <w:suppressAutoHyphens/>
        <w:spacing w:line="360" w:lineRule="auto"/>
        <w:ind w:left="709" w:right="-3" w:hanging="502"/>
        <w:jc w:val="both"/>
        <w:outlineLvl w:val="0"/>
        <w:rPr>
          <w:rFonts w:eastAsia="Calibri" w:cs="Times New Roman"/>
          <w:sz w:val="28"/>
          <w:szCs w:val="28"/>
        </w:rPr>
      </w:pPr>
      <w:r w:rsidRPr="00EF5E00">
        <w:rPr>
          <w:rFonts w:eastAsia="Calibri" w:cs="Times New Roman"/>
          <w:sz w:val="28"/>
          <w:szCs w:val="28"/>
        </w:rPr>
        <w:t>заявление о государственной регистрации от правообладателя, стороны или сторон договора, а также уполномоченных ими лиц на основании нотариально удостоверенной доверенности;</w:t>
      </w:r>
    </w:p>
    <w:p w14:paraId="0AC62130" w14:textId="77777777" w:rsidR="00EF5E00" w:rsidRPr="00EF5E00" w:rsidRDefault="00EF5E00" w:rsidP="00EF5E00">
      <w:pPr>
        <w:numPr>
          <w:ilvl w:val="0"/>
          <w:numId w:val="7"/>
        </w:numPr>
        <w:tabs>
          <w:tab w:val="clear" w:pos="1495"/>
          <w:tab w:val="num" w:pos="284"/>
          <w:tab w:val="left" w:pos="9900"/>
        </w:tabs>
        <w:suppressAutoHyphens/>
        <w:spacing w:line="360" w:lineRule="auto"/>
        <w:ind w:left="709" w:right="-3" w:hanging="502"/>
        <w:jc w:val="both"/>
        <w:outlineLvl w:val="0"/>
        <w:rPr>
          <w:rFonts w:eastAsia="Calibri" w:cs="Times New Roman"/>
          <w:sz w:val="28"/>
          <w:szCs w:val="28"/>
        </w:rPr>
      </w:pPr>
      <w:r w:rsidRPr="00EF5E00">
        <w:rPr>
          <w:rFonts w:eastAsia="Calibri" w:cs="Times New Roman"/>
          <w:sz w:val="28"/>
          <w:szCs w:val="28"/>
        </w:rPr>
        <w:t>документ об оплате государственной регистрации;</w:t>
      </w:r>
    </w:p>
    <w:p w14:paraId="6DF3F611" w14:textId="77777777" w:rsidR="00EF5E00" w:rsidRPr="00EF5E00" w:rsidRDefault="00EF5E00" w:rsidP="00EF5E00">
      <w:pPr>
        <w:numPr>
          <w:ilvl w:val="0"/>
          <w:numId w:val="7"/>
        </w:numPr>
        <w:tabs>
          <w:tab w:val="clear" w:pos="1495"/>
          <w:tab w:val="num" w:pos="284"/>
          <w:tab w:val="left" w:pos="9900"/>
        </w:tabs>
        <w:suppressAutoHyphens/>
        <w:spacing w:line="360" w:lineRule="auto"/>
        <w:ind w:left="709" w:right="-3" w:hanging="502"/>
        <w:jc w:val="both"/>
        <w:outlineLvl w:val="0"/>
        <w:rPr>
          <w:rFonts w:eastAsia="Calibri" w:cs="Times New Roman"/>
          <w:sz w:val="28"/>
          <w:szCs w:val="28"/>
        </w:rPr>
      </w:pPr>
      <w:r w:rsidRPr="00EF5E00">
        <w:rPr>
          <w:rFonts w:eastAsia="Calibri" w:cs="Times New Roman"/>
          <w:sz w:val="28"/>
          <w:szCs w:val="28"/>
        </w:rPr>
        <w:t>документы, удостоверяющие личность правообладателя и/или учредительные документы юридического лица;</w:t>
      </w:r>
    </w:p>
    <w:p w14:paraId="4333DCE4" w14:textId="77777777" w:rsidR="00EF5E00" w:rsidRPr="00EF5E00" w:rsidRDefault="00EF5E00" w:rsidP="00EF5E00">
      <w:pPr>
        <w:numPr>
          <w:ilvl w:val="0"/>
          <w:numId w:val="7"/>
        </w:numPr>
        <w:tabs>
          <w:tab w:val="clear" w:pos="1495"/>
          <w:tab w:val="num" w:pos="284"/>
          <w:tab w:val="left" w:pos="9900"/>
        </w:tabs>
        <w:suppressAutoHyphens/>
        <w:spacing w:line="360" w:lineRule="auto"/>
        <w:ind w:left="709" w:right="-3" w:hanging="502"/>
        <w:jc w:val="both"/>
        <w:outlineLvl w:val="0"/>
        <w:rPr>
          <w:rFonts w:eastAsia="Calibri" w:cs="Times New Roman"/>
          <w:sz w:val="28"/>
          <w:szCs w:val="28"/>
        </w:rPr>
      </w:pPr>
      <w:r w:rsidRPr="00EF5E00">
        <w:rPr>
          <w:rFonts w:eastAsia="Calibri" w:cs="Times New Roman"/>
          <w:sz w:val="28"/>
          <w:szCs w:val="28"/>
        </w:rPr>
        <w:t>документы, устанавливающие наличие, возникновение, прекращение, переход, ограничение права;</w:t>
      </w:r>
    </w:p>
    <w:p w14:paraId="37ADF444" w14:textId="77777777" w:rsidR="00EF5E00" w:rsidRPr="00EF5E00" w:rsidRDefault="00EF5E00" w:rsidP="00EF5E00">
      <w:pPr>
        <w:numPr>
          <w:ilvl w:val="0"/>
          <w:numId w:val="7"/>
        </w:numPr>
        <w:tabs>
          <w:tab w:val="clear" w:pos="1495"/>
          <w:tab w:val="num" w:pos="284"/>
          <w:tab w:val="left" w:pos="9900"/>
        </w:tabs>
        <w:suppressAutoHyphens/>
        <w:spacing w:line="360" w:lineRule="auto"/>
        <w:ind w:left="709" w:right="-3" w:hanging="502"/>
        <w:jc w:val="both"/>
        <w:outlineLvl w:val="0"/>
        <w:rPr>
          <w:rFonts w:eastAsia="Calibri" w:cs="Times New Roman"/>
          <w:sz w:val="28"/>
          <w:szCs w:val="28"/>
        </w:rPr>
      </w:pPr>
      <w:r w:rsidRPr="00EF5E00">
        <w:rPr>
          <w:rFonts w:eastAsia="Calibri" w:cs="Times New Roman"/>
          <w:sz w:val="28"/>
          <w:szCs w:val="28"/>
        </w:rPr>
        <w:t>план земельного участка или план объекта недвижимости с указанием его кадастрового номера;</w:t>
      </w:r>
    </w:p>
    <w:p w14:paraId="27809B96" w14:textId="77777777" w:rsidR="00EF5E00" w:rsidRPr="00EF5E00" w:rsidRDefault="00EF5E00" w:rsidP="00EF5E00">
      <w:pPr>
        <w:numPr>
          <w:ilvl w:val="0"/>
          <w:numId w:val="7"/>
        </w:numPr>
        <w:tabs>
          <w:tab w:val="clear" w:pos="1495"/>
          <w:tab w:val="num" w:pos="284"/>
          <w:tab w:val="left" w:pos="9900"/>
        </w:tabs>
        <w:suppressAutoHyphens/>
        <w:spacing w:line="360" w:lineRule="auto"/>
        <w:ind w:left="709" w:right="-3" w:hanging="502"/>
        <w:jc w:val="both"/>
        <w:outlineLvl w:val="0"/>
        <w:rPr>
          <w:rFonts w:eastAsia="Calibri" w:cs="Times New Roman"/>
          <w:sz w:val="28"/>
          <w:szCs w:val="28"/>
        </w:rPr>
      </w:pPr>
      <w:r w:rsidRPr="00EF5E00">
        <w:rPr>
          <w:rFonts w:eastAsia="Calibri" w:cs="Times New Roman"/>
          <w:sz w:val="28"/>
          <w:szCs w:val="28"/>
        </w:rPr>
        <w:t>иные документы, предусмотренные настоящим федеральным законом.</w:t>
      </w:r>
    </w:p>
    <w:p w14:paraId="0BDD9CE4"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2) правовая экспертиза документов и проверка законности сделки – изучение представленных для государственной регистрации документов с целью установления юридического факта, являющегося бесспорным основанием для возникновения, наличия, перехода, прекращения или обременения прав на недвижимое имущество.</w:t>
      </w:r>
    </w:p>
    <w:p w14:paraId="4FD890AC"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3) установление отсутствия противоречий между заявленными правами и уже зарегистрированными, а также других оснований для отказа или приостановления регистрации. По результатам исследования принимается одно из следующих решений: зарегистрировать право или сделку; приостановить государственную регистрацию; отказать в государственной регистрации.</w:t>
      </w:r>
    </w:p>
    <w:p w14:paraId="4232F904"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Основания для приостановления государственной регистрации:</w:t>
      </w:r>
    </w:p>
    <w:p w14:paraId="3887E2D3"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возникновение у регистратора сомнений в наличии оснований для регистрации, а также в подлинности представленных документов или достоверности указанных в них сведений. Регистратор в день представления уведомляет заявителя о приостановлении. Срок приостановления – не более одного месяца;</w:t>
      </w:r>
    </w:p>
    <w:p w14:paraId="5015805C"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на основании письменного заявления правообладателя или стороны сделки (срок – не более трех месяцев);</w:t>
      </w:r>
    </w:p>
    <w:p w14:paraId="63EA1CBE"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на основании заявления одной из сторон договора о возврате документов без проведения правовой экспертизы, если другая сторона с таким заявлением не обращалась (срок – не более одного месяца);</w:t>
      </w:r>
    </w:p>
    <w:p w14:paraId="275D7E44"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на основании определения или решения суда;</w:t>
      </w:r>
    </w:p>
    <w:p w14:paraId="48C1B6FE"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sz w:val="28"/>
          <w:szCs w:val="28"/>
        </w:rPr>
        <w:t>- в случае если к заявлению о государственной регистрации права на долю в праве общей долевой собственности не приложены документы, подтверждающие отказ остальных собственников от права преимущественной покупки, и если не истекли 30 дней с момента извещения продавцом участников долевой собственности о намерении продать свою долю.</w:t>
      </w:r>
    </w:p>
    <w:p w14:paraId="4A960245" w14:textId="77777777" w:rsidR="00EF5E00" w:rsidRPr="00EF5E00" w:rsidRDefault="00EF5E00" w:rsidP="00EF5E00">
      <w:pPr>
        <w:tabs>
          <w:tab w:val="left" w:pos="9900"/>
        </w:tabs>
        <w:spacing w:line="360" w:lineRule="auto"/>
        <w:ind w:right="-284"/>
        <w:jc w:val="center"/>
        <w:outlineLvl w:val="0"/>
        <w:rPr>
          <w:rFonts w:eastAsia="Calibri" w:cs="Times New Roman"/>
          <w:b/>
          <w:sz w:val="28"/>
          <w:szCs w:val="28"/>
        </w:rPr>
      </w:pPr>
      <w:r w:rsidRPr="00EF5E00">
        <w:rPr>
          <w:rFonts w:eastAsia="Calibri" w:cs="Times New Roman"/>
          <w:b/>
          <w:sz w:val="28"/>
          <w:szCs w:val="28"/>
        </w:rPr>
        <w:t>2. Инвестиционное планирование проекта</w:t>
      </w:r>
    </w:p>
    <w:p w14:paraId="77E1DC4B" w14:textId="77777777" w:rsidR="00EF5E00" w:rsidRPr="00EF5E00" w:rsidRDefault="00EF5E00" w:rsidP="00EF5E00">
      <w:pPr>
        <w:tabs>
          <w:tab w:val="left" w:pos="9900"/>
        </w:tabs>
        <w:spacing w:line="360" w:lineRule="auto"/>
        <w:ind w:right="-284"/>
        <w:jc w:val="center"/>
        <w:outlineLvl w:val="0"/>
        <w:rPr>
          <w:rFonts w:eastAsia="Calibri" w:cs="Times New Roman"/>
          <w:b/>
          <w:sz w:val="36"/>
          <w:szCs w:val="36"/>
        </w:rPr>
      </w:pPr>
      <w:r w:rsidRPr="00EF5E00">
        <w:rPr>
          <w:rFonts w:eastAsia="Calibri" w:cs="Times New Roman"/>
          <w:b/>
          <w:sz w:val="28"/>
          <w:szCs w:val="20"/>
        </w:rPr>
        <w:t>2.1 Источники финансирования</w:t>
      </w:r>
    </w:p>
    <w:p w14:paraId="2ECD112C" w14:textId="77777777" w:rsidR="00EF5E00" w:rsidRPr="00EF5E00" w:rsidRDefault="00EF5E00" w:rsidP="00EF5E00">
      <w:pPr>
        <w:tabs>
          <w:tab w:val="left" w:pos="9900"/>
        </w:tabs>
        <w:spacing w:line="360" w:lineRule="auto"/>
        <w:ind w:right="-3" w:firstLine="567"/>
        <w:jc w:val="both"/>
        <w:outlineLvl w:val="0"/>
        <w:rPr>
          <w:rFonts w:eastAsia="Calibri" w:cs="Times New Roman"/>
          <w:b/>
          <w:sz w:val="28"/>
          <w:szCs w:val="20"/>
        </w:rPr>
      </w:pPr>
      <w:r w:rsidRPr="00EF5E00">
        <w:rPr>
          <w:rFonts w:eastAsia="Calibri" w:cs="Times New Roman"/>
          <w:sz w:val="28"/>
          <w:szCs w:val="20"/>
        </w:rPr>
        <w:t>В настоящее время основными источниками финансирования фонда воспроиз</w:t>
      </w:r>
      <w:r w:rsidRPr="00EF5E00">
        <w:rPr>
          <w:rFonts w:eastAsia="Calibri" w:cs="Times New Roman"/>
          <w:sz w:val="28"/>
          <w:szCs w:val="20"/>
        </w:rPr>
        <w:softHyphen/>
        <w:t>водства являются:</w:t>
      </w:r>
    </w:p>
    <w:p w14:paraId="0C189C6E"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1) бюджетные средства (около 15%);</w:t>
      </w:r>
    </w:p>
    <w:p w14:paraId="2735DA77"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2) внебюджетные средства (более 85%).</w:t>
      </w:r>
    </w:p>
    <w:p w14:paraId="580ACB0A"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К внебюджетным источникам финансирования жилищной сферы относятся:</w:t>
      </w:r>
    </w:p>
    <w:p w14:paraId="311C273C"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 собственные средства застройщиков (предприятий и организаций различных форм собственности);</w:t>
      </w:r>
    </w:p>
    <w:p w14:paraId="2019F227"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 собственные средства покупателей строящегося жилья;</w:t>
      </w:r>
    </w:p>
    <w:p w14:paraId="1E6B9557"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 средства финансовых и кредитных учреждений;</w:t>
      </w:r>
    </w:p>
    <w:p w14:paraId="204CF5E9"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 международные и финансовые ресурсы.</w:t>
      </w:r>
    </w:p>
    <w:p w14:paraId="4382B42D"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color w:val="000000"/>
          <w:sz w:val="28"/>
          <w:szCs w:val="28"/>
        </w:rPr>
        <w:t xml:space="preserve">Собственные </w:t>
      </w:r>
      <w:r w:rsidRPr="00EF5E00">
        <w:rPr>
          <w:rFonts w:eastAsia="Calibri" w:cs="Times New Roman"/>
          <w:sz w:val="28"/>
          <w:szCs w:val="20"/>
        </w:rPr>
        <w:t>средства застройщиков и покупателей строящегося жилья формируются за счет доходов предприятий, доходов населения, субъектных субсидий, субъектных кредитов.</w:t>
      </w:r>
    </w:p>
    <w:p w14:paraId="0846F599"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К основным формам привлечения собственных средств в жилищное строи</w:t>
      </w:r>
      <w:r w:rsidRPr="00EF5E00">
        <w:rPr>
          <w:rFonts w:eastAsia="Calibri" w:cs="Times New Roman"/>
          <w:sz w:val="28"/>
          <w:szCs w:val="20"/>
        </w:rPr>
        <w:softHyphen/>
        <w:t>тельство относят:</w:t>
      </w:r>
    </w:p>
    <w:p w14:paraId="25489A7E" w14:textId="77777777" w:rsidR="00EF5E00" w:rsidRPr="00EF5E00" w:rsidRDefault="00EF5E00" w:rsidP="00EF5E00">
      <w:pPr>
        <w:numPr>
          <w:ilvl w:val="0"/>
          <w:numId w:val="9"/>
        </w:numPr>
        <w:tabs>
          <w:tab w:val="left" w:pos="9900"/>
        </w:tabs>
        <w:suppressAutoHyphens/>
        <w:spacing w:line="360" w:lineRule="auto"/>
        <w:ind w:left="284" w:right="-3" w:hanging="284"/>
        <w:jc w:val="both"/>
        <w:outlineLvl w:val="0"/>
        <w:rPr>
          <w:rFonts w:eastAsia="Calibri" w:cs="Times New Roman"/>
          <w:sz w:val="28"/>
          <w:szCs w:val="20"/>
        </w:rPr>
      </w:pPr>
      <w:r w:rsidRPr="00EF5E00">
        <w:rPr>
          <w:rFonts w:eastAsia="Calibri" w:cs="Times New Roman"/>
          <w:sz w:val="28"/>
          <w:szCs w:val="20"/>
        </w:rPr>
        <w:t>Банковское кредитование застройщиков и населения.</w:t>
      </w:r>
    </w:p>
    <w:p w14:paraId="6D5B982E" w14:textId="77777777" w:rsidR="00EF5E00" w:rsidRPr="00EF5E00" w:rsidRDefault="00EF5E00" w:rsidP="00EF5E00">
      <w:pPr>
        <w:tabs>
          <w:tab w:val="left" w:pos="9900"/>
        </w:tabs>
        <w:spacing w:line="360" w:lineRule="auto"/>
        <w:ind w:left="284" w:right="-3" w:hanging="284"/>
        <w:jc w:val="both"/>
        <w:outlineLvl w:val="0"/>
        <w:rPr>
          <w:rFonts w:eastAsia="Calibri" w:cs="Times New Roman"/>
          <w:sz w:val="28"/>
          <w:szCs w:val="20"/>
        </w:rPr>
      </w:pPr>
      <w:r w:rsidRPr="00EF5E00">
        <w:rPr>
          <w:rFonts w:eastAsia="Calibri" w:cs="Times New Roman"/>
          <w:sz w:val="28"/>
          <w:szCs w:val="20"/>
        </w:rPr>
        <w:t>Кредитование населения - основной источник реального спроса на жилье со стороны его конечного потребителя.</w:t>
      </w:r>
    </w:p>
    <w:p w14:paraId="6DEA16B1" w14:textId="77777777" w:rsidR="00EF5E00" w:rsidRPr="00EF5E00" w:rsidRDefault="00EF5E00" w:rsidP="00EF5E00">
      <w:pPr>
        <w:numPr>
          <w:ilvl w:val="0"/>
          <w:numId w:val="9"/>
        </w:numPr>
        <w:tabs>
          <w:tab w:val="left" w:pos="9900"/>
        </w:tabs>
        <w:suppressAutoHyphens/>
        <w:spacing w:line="360" w:lineRule="auto"/>
        <w:ind w:left="284" w:right="-3"/>
        <w:jc w:val="both"/>
        <w:outlineLvl w:val="0"/>
        <w:rPr>
          <w:rFonts w:eastAsia="Calibri" w:cs="Times New Roman"/>
          <w:sz w:val="28"/>
          <w:szCs w:val="20"/>
        </w:rPr>
      </w:pPr>
      <w:r w:rsidRPr="00EF5E00">
        <w:rPr>
          <w:rFonts w:eastAsia="Calibri" w:cs="Times New Roman"/>
          <w:sz w:val="28"/>
          <w:szCs w:val="20"/>
        </w:rPr>
        <w:t xml:space="preserve">Долевое участие в строительстве. Это наиболее распространенный вид привлечения собственных средств предприятий и населения для целей нового жилищного строительства. Долевое строительство ведется застройщиками в рамках муниципальных жилищных программ.         </w:t>
      </w:r>
    </w:p>
    <w:p w14:paraId="4875796A"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 xml:space="preserve">В данном проекте строительство жилого дома осуществляется </w:t>
      </w:r>
      <w:r w:rsidRPr="00EF5E00">
        <w:rPr>
          <w:rFonts w:eastAsia="Calibri" w:cs="Times New Roman"/>
          <w:sz w:val="28"/>
          <w:szCs w:val="20"/>
          <w:highlight w:val="yellow"/>
        </w:rPr>
        <w:t>за собственные средства заказчика, получаемые от продажи строящихся им объектов, а также средств граждан и других предприятий, привлекаемых по договорам долевого участия в строительстве</w:t>
      </w:r>
      <w:r w:rsidRPr="00EF5E00">
        <w:rPr>
          <w:rFonts w:eastAsia="Calibri" w:cs="Times New Roman"/>
          <w:sz w:val="28"/>
          <w:szCs w:val="20"/>
        </w:rPr>
        <w:t xml:space="preserve">. </w:t>
      </w:r>
    </w:p>
    <w:p w14:paraId="5DBFADC0" w14:textId="77777777" w:rsidR="00EF5E00" w:rsidRPr="00EF5E00" w:rsidRDefault="00EF5E00" w:rsidP="00EF5E00">
      <w:pPr>
        <w:tabs>
          <w:tab w:val="left" w:pos="9900"/>
        </w:tabs>
        <w:spacing w:line="360" w:lineRule="auto"/>
        <w:ind w:right="-3"/>
        <w:jc w:val="center"/>
        <w:outlineLvl w:val="0"/>
        <w:rPr>
          <w:rFonts w:eastAsia="Calibri" w:cs="Times New Roman"/>
          <w:b/>
          <w:sz w:val="28"/>
          <w:szCs w:val="20"/>
        </w:rPr>
      </w:pPr>
      <w:r w:rsidRPr="00EF5E00">
        <w:rPr>
          <w:rFonts w:eastAsia="Calibri" w:cs="Times New Roman"/>
          <w:b/>
          <w:sz w:val="28"/>
          <w:szCs w:val="20"/>
        </w:rPr>
        <w:t>2.2 Анализ эффективности инвестиций</w:t>
      </w:r>
    </w:p>
    <w:p w14:paraId="1D797B37" w14:textId="77777777" w:rsidR="00EF5E00" w:rsidRDefault="00EF5E00" w:rsidP="00EF5E00">
      <w:pPr>
        <w:tabs>
          <w:tab w:val="left" w:pos="9900"/>
        </w:tabs>
        <w:spacing w:line="360" w:lineRule="auto"/>
        <w:ind w:right="-3" w:firstLine="567"/>
        <w:jc w:val="both"/>
        <w:outlineLvl w:val="0"/>
        <w:rPr>
          <w:rFonts w:eastAsia="Calibri" w:cs="Times New Roman"/>
          <w:sz w:val="28"/>
          <w:szCs w:val="20"/>
        </w:rPr>
      </w:pPr>
      <w:r>
        <w:rPr>
          <w:rFonts w:eastAsia="Calibri" w:cs="Times New Roman"/>
          <w:sz w:val="28"/>
          <w:szCs w:val="20"/>
        </w:rPr>
        <w:t>Для оценки эффективности инвестиций требуется определение финансовых потоков инвестиционного проекта строительства объекта.</w:t>
      </w:r>
    </w:p>
    <w:p w14:paraId="5878A600" w14:textId="77777777" w:rsidR="00EF5E00" w:rsidRDefault="00EF5E00" w:rsidP="00EF5E00">
      <w:pPr>
        <w:tabs>
          <w:tab w:val="left" w:pos="9900"/>
        </w:tabs>
        <w:spacing w:line="360" w:lineRule="auto"/>
        <w:ind w:right="-3" w:firstLine="567"/>
        <w:jc w:val="both"/>
        <w:outlineLvl w:val="0"/>
        <w:rPr>
          <w:rFonts w:eastAsia="Calibri" w:cs="Times New Roman"/>
          <w:sz w:val="28"/>
          <w:szCs w:val="20"/>
        </w:rPr>
      </w:pPr>
      <w:r>
        <w:rPr>
          <w:rFonts w:eastAsia="Calibri" w:cs="Times New Roman"/>
          <w:sz w:val="28"/>
          <w:szCs w:val="20"/>
        </w:rPr>
        <w:t>Годовые поступления (притоки) проекта рассчитываются следующим образом:</w:t>
      </w:r>
    </w:p>
    <w:p w14:paraId="2785309C"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highlight w:val="yellow"/>
        </w:rPr>
      </w:pPr>
      <w:r w:rsidRPr="00EF5E00">
        <w:rPr>
          <w:rFonts w:eastAsia="Calibri" w:cs="Times New Roman"/>
          <w:sz w:val="28"/>
          <w:szCs w:val="20"/>
          <w:highlight w:val="yellow"/>
        </w:rPr>
        <w:t xml:space="preserve">…. (необходимо указать, каким методом определяются будущие притоки средств, например – </w:t>
      </w:r>
    </w:p>
    <w:p w14:paraId="3BA685A6"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highlight w:val="yellow"/>
        </w:rPr>
      </w:pPr>
      <w:r w:rsidRPr="00EF5E00">
        <w:rPr>
          <w:rFonts w:eastAsia="Calibri" w:cs="Times New Roman"/>
          <w:sz w:val="28"/>
          <w:szCs w:val="20"/>
          <w:highlight w:val="yellow"/>
        </w:rPr>
        <w:t>- на основе прогноза поступлений от инвесторов, определенного методом аналогий (по аналогии с другими строящимися объектами)</w:t>
      </w:r>
    </w:p>
    <w:p w14:paraId="7E61F4E3" w14:textId="77777777" w:rsid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highlight w:val="yellow"/>
        </w:rPr>
        <w:t>- на основе договора банковского кредита, предусматривающего поступления средств по следующему графику</w:t>
      </w:r>
    </w:p>
    <w:p w14:paraId="0EFCA287" w14:textId="77777777" w:rsidR="00EF5E00" w:rsidRDefault="00EF5E00" w:rsidP="00EF5E00">
      <w:pPr>
        <w:tabs>
          <w:tab w:val="left" w:pos="9900"/>
        </w:tabs>
        <w:spacing w:line="360" w:lineRule="auto"/>
        <w:ind w:right="-3" w:firstLine="567"/>
        <w:jc w:val="both"/>
        <w:outlineLvl w:val="0"/>
        <w:rPr>
          <w:rFonts w:eastAsia="Calibri" w:cs="Times New Roman"/>
          <w:sz w:val="28"/>
          <w:szCs w:val="20"/>
        </w:rPr>
      </w:pPr>
      <w:r>
        <w:rPr>
          <w:rFonts w:eastAsia="Calibri" w:cs="Times New Roman"/>
          <w:sz w:val="28"/>
          <w:szCs w:val="20"/>
        </w:rPr>
        <w:t>- ….</w:t>
      </w:r>
    </w:p>
    <w:p w14:paraId="0CF3C47A" w14:textId="77777777" w:rsidR="00EF5E00" w:rsidRDefault="00EF5E00" w:rsidP="00EF5E00">
      <w:pPr>
        <w:tabs>
          <w:tab w:val="left" w:pos="9900"/>
        </w:tabs>
        <w:spacing w:line="360" w:lineRule="auto"/>
        <w:ind w:right="-3" w:firstLine="567"/>
        <w:jc w:val="both"/>
        <w:outlineLvl w:val="0"/>
        <w:rPr>
          <w:rFonts w:eastAsia="Calibri" w:cs="Times New Roman"/>
          <w:sz w:val="28"/>
          <w:szCs w:val="20"/>
        </w:rPr>
      </w:pPr>
      <w:r>
        <w:rPr>
          <w:rFonts w:eastAsia="Calibri" w:cs="Times New Roman"/>
          <w:sz w:val="28"/>
          <w:szCs w:val="20"/>
        </w:rPr>
        <w:t>Годовые выплаты от проекта (оттоки) рассчитываются как сумма следующих выплат:</w:t>
      </w:r>
    </w:p>
    <w:p w14:paraId="7EC52EF8"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highlight w:val="yellow"/>
        </w:rPr>
      </w:pPr>
      <w:r w:rsidRPr="00EF5E00">
        <w:rPr>
          <w:rFonts w:eastAsia="Calibri" w:cs="Times New Roman"/>
          <w:sz w:val="28"/>
          <w:szCs w:val="20"/>
          <w:highlight w:val="yellow"/>
        </w:rPr>
        <w:t>… (необходимо указать каким методом определяются оттоки для вашего проекта)</w:t>
      </w:r>
      <w:r w:rsidR="003D32B7">
        <w:rPr>
          <w:rFonts w:eastAsia="Calibri" w:cs="Times New Roman"/>
          <w:sz w:val="28"/>
          <w:szCs w:val="20"/>
          <w:highlight w:val="yellow"/>
        </w:rPr>
        <w:t>, например</w:t>
      </w:r>
    </w:p>
    <w:p w14:paraId="6DA7D834" w14:textId="77777777" w:rsid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highlight w:val="yellow"/>
        </w:rPr>
        <w:t>- прогнозные затраты на строительство объекта, определенные на основе локальных сметных расчетов (укрупненных сметных расчетов) и календарного графика выполнения этапов проекта (типового/ нормативного графика освоения капитальных вложений);</w:t>
      </w:r>
    </w:p>
    <w:p w14:paraId="5B1E2352" w14:textId="77777777" w:rsidR="00EF5E00" w:rsidRPr="003D32B7" w:rsidRDefault="00EF5E00" w:rsidP="00EF5E00">
      <w:pPr>
        <w:tabs>
          <w:tab w:val="left" w:pos="9900"/>
        </w:tabs>
        <w:spacing w:line="360" w:lineRule="auto"/>
        <w:ind w:right="-3" w:firstLine="567"/>
        <w:jc w:val="both"/>
        <w:outlineLvl w:val="0"/>
        <w:rPr>
          <w:rFonts w:eastAsia="Calibri" w:cs="Times New Roman"/>
          <w:sz w:val="28"/>
          <w:szCs w:val="20"/>
          <w:highlight w:val="yellow"/>
        </w:rPr>
      </w:pPr>
      <w:r w:rsidRPr="003D32B7">
        <w:rPr>
          <w:rFonts w:eastAsia="Calibri" w:cs="Times New Roman"/>
          <w:sz w:val="28"/>
          <w:szCs w:val="20"/>
          <w:highlight w:val="yellow"/>
        </w:rPr>
        <w:t xml:space="preserve">- </w:t>
      </w:r>
      <w:r w:rsidR="003D32B7" w:rsidRPr="003D32B7">
        <w:rPr>
          <w:rFonts w:eastAsia="Calibri" w:cs="Times New Roman"/>
          <w:sz w:val="28"/>
          <w:szCs w:val="20"/>
          <w:highlight w:val="yellow"/>
        </w:rPr>
        <w:t>возврат средств, полученных по банковскому кредиту с процентами, согласно условиям кредитного договора;</w:t>
      </w:r>
    </w:p>
    <w:p w14:paraId="2E3DF84D" w14:textId="77777777" w:rsidR="003D32B7" w:rsidRDefault="003D32B7" w:rsidP="00EF5E00">
      <w:pPr>
        <w:tabs>
          <w:tab w:val="left" w:pos="9900"/>
        </w:tabs>
        <w:spacing w:line="360" w:lineRule="auto"/>
        <w:ind w:right="-3" w:firstLine="567"/>
        <w:jc w:val="both"/>
        <w:outlineLvl w:val="0"/>
        <w:rPr>
          <w:rFonts w:eastAsia="Calibri" w:cs="Times New Roman"/>
          <w:sz w:val="28"/>
          <w:szCs w:val="20"/>
        </w:rPr>
      </w:pPr>
      <w:r w:rsidRPr="003D32B7">
        <w:rPr>
          <w:rFonts w:eastAsia="Calibri" w:cs="Times New Roman"/>
          <w:sz w:val="28"/>
          <w:szCs w:val="20"/>
          <w:highlight w:val="yellow"/>
        </w:rPr>
        <w:t>- возврат средств инвесторов, предусмотренный договором об инвестиционной деятельности;</w:t>
      </w:r>
    </w:p>
    <w:p w14:paraId="1A6B70F3" w14:textId="77777777" w:rsidR="00EF5E00" w:rsidRDefault="00EF5E00" w:rsidP="00EF5E00">
      <w:pPr>
        <w:tabs>
          <w:tab w:val="left" w:pos="9900"/>
        </w:tabs>
        <w:spacing w:line="360" w:lineRule="auto"/>
        <w:ind w:right="-3" w:firstLine="567"/>
        <w:jc w:val="both"/>
        <w:outlineLvl w:val="0"/>
        <w:rPr>
          <w:rFonts w:eastAsia="Calibri" w:cs="Times New Roman"/>
          <w:sz w:val="28"/>
          <w:szCs w:val="20"/>
        </w:rPr>
      </w:pPr>
    </w:p>
    <w:p w14:paraId="26D8DEFD"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Для оценки эффективности инвестиционного проекта используются следующие показатели:</w:t>
      </w:r>
    </w:p>
    <w:p w14:paraId="68EF590A" w14:textId="77777777" w:rsidR="00EF5E00" w:rsidRPr="00EF5E00" w:rsidRDefault="00EF5E00" w:rsidP="00EF5E00">
      <w:pPr>
        <w:numPr>
          <w:ilvl w:val="0"/>
          <w:numId w:val="10"/>
        </w:numPr>
        <w:tabs>
          <w:tab w:val="left" w:pos="9900"/>
        </w:tabs>
        <w:suppressAutoHyphens/>
        <w:spacing w:line="360" w:lineRule="auto"/>
        <w:ind w:left="284" w:right="-3" w:hanging="284"/>
        <w:jc w:val="both"/>
        <w:outlineLvl w:val="0"/>
        <w:rPr>
          <w:rFonts w:eastAsia="Calibri" w:cs="Times New Roman"/>
          <w:sz w:val="28"/>
          <w:szCs w:val="20"/>
        </w:rPr>
      </w:pPr>
      <w:r w:rsidRPr="00EF5E00">
        <w:rPr>
          <w:rFonts w:eastAsia="Calibri" w:cs="Times New Roman"/>
          <w:sz w:val="28"/>
          <w:szCs w:val="20"/>
        </w:rPr>
        <w:t xml:space="preserve">ЧДС – чистая дисконтированная стоимость; </w:t>
      </w:r>
    </w:p>
    <w:p w14:paraId="4137B943" w14:textId="77777777" w:rsidR="00EF5E00" w:rsidRPr="00EF5E00" w:rsidRDefault="00EF5E00" w:rsidP="00EF5E00">
      <w:pPr>
        <w:numPr>
          <w:ilvl w:val="0"/>
          <w:numId w:val="10"/>
        </w:numPr>
        <w:tabs>
          <w:tab w:val="left" w:pos="9900"/>
        </w:tabs>
        <w:suppressAutoHyphens/>
        <w:spacing w:line="360" w:lineRule="auto"/>
        <w:ind w:left="284" w:right="-3" w:hanging="284"/>
        <w:jc w:val="both"/>
        <w:outlineLvl w:val="0"/>
        <w:rPr>
          <w:rFonts w:eastAsia="Calibri" w:cs="Times New Roman"/>
          <w:sz w:val="28"/>
          <w:szCs w:val="20"/>
        </w:rPr>
      </w:pPr>
      <w:r w:rsidRPr="00EF5E00">
        <w:rPr>
          <w:rFonts w:eastAsia="Calibri" w:cs="Times New Roman"/>
          <w:sz w:val="28"/>
          <w:szCs w:val="20"/>
        </w:rPr>
        <w:t>И</w:t>
      </w:r>
      <w:r w:rsidRPr="00EF5E00">
        <w:rPr>
          <w:rFonts w:eastAsia="Calibri" w:cs="Times New Roman"/>
          <w:sz w:val="28"/>
          <w:szCs w:val="20"/>
          <w:vertAlign w:val="subscript"/>
        </w:rPr>
        <w:t>р</w:t>
      </w:r>
      <w:r w:rsidRPr="00EF5E00">
        <w:rPr>
          <w:rFonts w:eastAsia="Calibri" w:cs="Times New Roman"/>
          <w:sz w:val="28"/>
          <w:szCs w:val="20"/>
        </w:rPr>
        <w:t xml:space="preserve"> – индекс рентабельности;</w:t>
      </w:r>
    </w:p>
    <w:p w14:paraId="11CB1702" w14:textId="77777777" w:rsidR="00EF5E00" w:rsidRPr="00EF5E00" w:rsidRDefault="00EF5E00" w:rsidP="00EF5E00">
      <w:pPr>
        <w:numPr>
          <w:ilvl w:val="0"/>
          <w:numId w:val="10"/>
        </w:numPr>
        <w:tabs>
          <w:tab w:val="left" w:pos="9900"/>
        </w:tabs>
        <w:suppressAutoHyphens/>
        <w:spacing w:line="360" w:lineRule="auto"/>
        <w:ind w:left="284" w:right="-3" w:hanging="284"/>
        <w:jc w:val="both"/>
        <w:outlineLvl w:val="0"/>
        <w:rPr>
          <w:rFonts w:eastAsia="Calibri" w:cs="Times New Roman"/>
          <w:sz w:val="28"/>
          <w:szCs w:val="20"/>
        </w:rPr>
      </w:pPr>
      <w:proofErr w:type="spellStart"/>
      <w:r w:rsidRPr="00EF5E00">
        <w:rPr>
          <w:rFonts w:eastAsia="Calibri" w:cs="Times New Roman"/>
          <w:sz w:val="28"/>
          <w:szCs w:val="20"/>
        </w:rPr>
        <w:t>П</w:t>
      </w:r>
      <w:r w:rsidRPr="00EF5E00">
        <w:rPr>
          <w:rFonts w:eastAsia="Calibri" w:cs="Times New Roman"/>
          <w:sz w:val="28"/>
          <w:szCs w:val="20"/>
          <w:vertAlign w:val="subscript"/>
        </w:rPr>
        <w:t>ок</w:t>
      </w:r>
      <w:proofErr w:type="spellEnd"/>
      <w:r w:rsidRPr="00EF5E00">
        <w:rPr>
          <w:rFonts w:eastAsia="Calibri" w:cs="Times New Roman"/>
          <w:sz w:val="28"/>
          <w:szCs w:val="20"/>
        </w:rPr>
        <w:t xml:space="preserve"> – период окупаемости; </w:t>
      </w:r>
    </w:p>
    <w:p w14:paraId="373E6F22" w14:textId="77777777" w:rsidR="00EF5E00" w:rsidRPr="00EF5E00" w:rsidRDefault="00EF5E00" w:rsidP="00EF5E00">
      <w:pPr>
        <w:numPr>
          <w:ilvl w:val="0"/>
          <w:numId w:val="10"/>
        </w:numPr>
        <w:tabs>
          <w:tab w:val="left" w:pos="9900"/>
        </w:tabs>
        <w:suppressAutoHyphens/>
        <w:spacing w:line="360" w:lineRule="auto"/>
        <w:ind w:left="284" w:right="-3" w:hanging="284"/>
        <w:jc w:val="both"/>
        <w:outlineLvl w:val="0"/>
        <w:rPr>
          <w:rFonts w:eastAsia="Calibri" w:cs="Times New Roman"/>
          <w:sz w:val="28"/>
          <w:szCs w:val="20"/>
        </w:rPr>
      </w:pPr>
      <w:r w:rsidRPr="00EF5E00">
        <w:rPr>
          <w:rFonts w:eastAsia="Calibri" w:cs="Times New Roman"/>
          <w:sz w:val="28"/>
          <w:szCs w:val="20"/>
        </w:rPr>
        <w:t>ВНД – внутренней нормы доходности.</w:t>
      </w:r>
    </w:p>
    <w:p w14:paraId="713A4929"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ЧДС – разница между чистой дисконтированной стоимостью будущей суммы средств и первоначальной стоимостью капитальных вложений (между отдачей капитала и вложенным капиталом). ЧДС должна быть положительна, иначе проект является убыточным .</w:t>
      </w:r>
    </w:p>
    <w:p w14:paraId="6415939E" w14:textId="77777777" w:rsidR="00EF5E00" w:rsidRPr="00EF5E00" w:rsidRDefault="00EF5E00" w:rsidP="00EF5E00">
      <w:pPr>
        <w:tabs>
          <w:tab w:val="left" w:pos="9900"/>
        </w:tabs>
        <w:spacing w:line="360" w:lineRule="auto"/>
        <w:ind w:right="-3" w:firstLine="567"/>
        <w:jc w:val="right"/>
        <w:outlineLvl w:val="0"/>
        <w:rPr>
          <w:rFonts w:eastAsia="Calibri" w:cs="Times New Roman"/>
          <w:sz w:val="28"/>
          <w:szCs w:val="20"/>
        </w:rPr>
      </w:pPr>
      <w:r w:rsidRPr="00EF5E00">
        <w:rPr>
          <w:rFonts w:eastAsia="Calibri" w:cs="Times New Roman"/>
          <w:sz w:val="28"/>
          <w:szCs w:val="20"/>
        </w:rPr>
        <w:t xml:space="preserve">                    </w:t>
      </w:r>
      <w:r w:rsidRPr="00EF5E00">
        <w:rPr>
          <w:rFonts w:eastAsia="Calibri" w:cs="Times New Roman"/>
          <w:sz w:val="28"/>
          <w:szCs w:val="20"/>
        </w:rPr>
        <w:object w:dxaOrig="2380" w:dyaOrig="700" w14:anchorId="5E83DF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44pt" o:ole="">
            <v:imagedata r:id="rId6" o:title=""/>
          </v:shape>
          <o:OLEObject Type="Embed" ProgID="Equation.3" ShapeID="_x0000_i1025" DrawAspect="Content" ObjectID="_1523527275" r:id="rId7"/>
        </w:object>
      </w:r>
      <w:r w:rsidRPr="00EF5E00">
        <w:rPr>
          <w:rFonts w:eastAsia="Calibri" w:cs="Times New Roman"/>
          <w:sz w:val="28"/>
          <w:szCs w:val="20"/>
        </w:rPr>
        <w:t>,                                         (4.29)</w:t>
      </w:r>
    </w:p>
    <w:p w14:paraId="2ACCF9A1"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где Р</w:t>
      </w:r>
      <w:r w:rsidRPr="00EF5E00">
        <w:rPr>
          <w:rFonts w:eastAsia="Calibri" w:cs="Times New Roman"/>
          <w:i/>
          <w:sz w:val="28"/>
          <w:szCs w:val="20"/>
          <w:vertAlign w:val="subscript"/>
        </w:rPr>
        <w:t>К</w:t>
      </w:r>
      <w:r w:rsidRPr="00EF5E00">
        <w:rPr>
          <w:rFonts w:eastAsia="Calibri" w:cs="Times New Roman"/>
          <w:sz w:val="28"/>
          <w:szCs w:val="20"/>
        </w:rPr>
        <w:t xml:space="preserve"> – годовые денежные поступления в течении К-лет;</w:t>
      </w:r>
    </w:p>
    <w:p w14:paraId="1491582D"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К – продолжительность расчетного периода проекта;</w:t>
      </w:r>
    </w:p>
    <w:p w14:paraId="26F08327"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к – порядковый номер года в будущем (от даты начала строительства);</w:t>
      </w:r>
    </w:p>
    <w:p w14:paraId="73E4299C"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proofErr w:type="gramStart"/>
      <w:r w:rsidRPr="00EF5E00">
        <w:rPr>
          <w:rFonts w:eastAsia="Calibri" w:cs="Times New Roman"/>
          <w:sz w:val="28"/>
          <w:szCs w:val="20"/>
          <w:lang w:val="en-US"/>
        </w:rPr>
        <w:t>n</w:t>
      </w:r>
      <w:proofErr w:type="gramEnd"/>
      <w:r w:rsidRPr="00EF5E00">
        <w:rPr>
          <w:rFonts w:eastAsia="Calibri" w:cs="Times New Roman"/>
          <w:sz w:val="28"/>
          <w:szCs w:val="20"/>
        </w:rPr>
        <w:t xml:space="preserve"> – продолжительность расчетного  периода  строительства;</w:t>
      </w:r>
    </w:p>
    <w:p w14:paraId="131D3997"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Е – норма дисконта (приемлемая для инвестора норме дохода, Е = 40%);</w:t>
      </w:r>
    </w:p>
    <w:p w14:paraId="63370954"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К</w:t>
      </w:r>
      <w:r w:rsidRPr="00EF5E00">
        <w:rPr>
          <w:rFonts w:eastAsia="Calibri" w:cs="Times New Roman"/>
          <w:sz w:val="28"/>
          <w:szCs w:val="20"/>
          <w:vertAlign w:val="subscript"/>
        </w:rPr>
        <w:t>0</w:t>
      </w:r>
      <w:r w:rsidRPr="00EF5E00">
        <w:rPr>
          <w:rFonts w:eastAsia="Calibri" w:cs="Times New Roman"/>
          <w:sz w:val="28"/>
          <w:szCs w:val="20"/>
        </w:rPr>
        <w:t xml:space="preserve"> – разовые инвестиции (капитальные вложения) или полная сметная стоимость для проекта.</w:t>
      </w:r>
    </w:p>
    <w:p w14:paraId="516DD38D" w14:textId="77777777" w:rsidR="00EF5E00" w:rsidRPr="00EF5E00" w:rsidRDefault="00EF5E00" w:rsidP="00EF5E00">
      <w:pPr>
        <w:tabs>
          <w:tab w:val="left" w:pos="9900"/>
        </w:tabs>
        <w:suppressAutoHyphens/>
        <w:spacing w:line="360" w:lineRule="auto"/>
        <w:ind w:right="-3" w:firstLine="567"/>
        <w:jc w:val="both"/>
        <w:rPr>
          <w:rFonts w:eastAsia="Times New Roman" w:cs="Times New Roman"/>
          <w:sz w:val="28"/>
          <w:szCs w:val="28"/>
          <w:lang w:eastAsia="ar-SA"/>
        </w:rPr>
      </w:pPr>
      <w:r w:rsidRPr="00EF5E00">
        <w:rPr>
          <w:rFonts w:eastAsia="Times New Roman" w:cs="Times New Roman"/>
          <w:sz w:val="28"/>
          <w:szCs w:val="28"/>
          <w:lang w:eastAsia="ar-SA"/>
        </w:rPr>
        <w:t>Если  ЧДС &gt; 0, то  проект  эффективен.</w:t>
      </w:r>
    </w:p>
    <w:p w14:paraId="7D59A19C" w14:textId="77777777" w:rsidR="00EF5E00" w:rsidRPr="00EF5E00" w:rsidRDefault="00EF5E00" w:rsidP="00EF5E00">
      <w:pPr>
        <w:tabs>
          <w:tab w:val="left" w:pos="9900"/>
        </w:tabs>
        <w:suppressAutoHyphens/>
        <w:spacing w:line="360" w:lineRule="auto"/>
        <w:ind w:right="-3" w:firstLine="567"/>
        <w:jc w:val="both"/>
        <w:rPr>
          <w:rFonts w:eastAsia="Times New Roman" w:cs="Times New Roman"/>
          <w:sz w:val="28"/>
          <w:szCs w:val="28"/>
          <w:lang w:eastAsia="ar-SA"/>
        </w:rPr>
      </w:pPr>
      <w:r w:rsidRPr="00EF5E00">
        <w:rPr>
          <w:rFonts w:eastAsia="Times New Roman" w:cs="Times New Roman"/>
          <w:sz w:val="28"/>
          <w:szCs w:val="28"/>
          <w:lang w:eastAsia="ar-SA"/>
        </w:rPr>
        <w:t>Если  ЧДС = 0, то  проект  не  прибылен  и  не  убыточен.</w:t>
      </w:r>
    </w:p>
    <w:p w14:paraId="7299D242" w14:textId="77777777" w:rsidR="00EF5E00" w:rsidRPr="00EF5E00" w:rsidRDefault="00EF5E00" w:rsidP="00EF5E00">
      <w:pPr>
        <w:tabs>
          <w:tab w:val="left" w:pos="9900"/>
        </w:tabs>
        <w:suppressAutoHyphens/>
        <w:spacing w:line="360" w:lineRule="auto"/>
        <w:ind w:right="-3" w:firstLine="567"/>
        <w:jc w:val="both"/>
        <w:rPr>
          <w:rFonts w:eastAsia="Times New Roman" w:cs="Times New Roman"/>
          <w:sz w:val="28"/>
          <w:szCs w:val="28"/>
          <w:lang w:eastAsia="ar-SA"/>
        </w:rPr>
      </w:pPr>
      <w:r w:rsidRPr="00EF5E00">
        <w:rPr>
          <w:rFonts w:eastAsia="Times New Roman" w:cs="Times New Roman"/>
          <w:sz w:val="28"/>
          <w:szCs w:val="28"/>
          <w:lang w:eastAsia="ar-SA"/>
        </w:rPr>
        <w:t>Если  ЧДС &lt; 0, то  проект  отклоняется.</w:t>
      </w:r>
    </w:p>
    <w:p w14:paraId="12242018"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Индекс рентабельности представляет собой отношение всей суммы дисконтированных доходов по проекту к сумме дисконтированных инвестиционных затрат.</w:t>
      </w:r>
    </w:p>
    <w:p w14:paraId="0EF004C6"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При  И</w:t>
      </w:r>
      <w:r w:rsidRPr="00EF5E00">
        <w:rPr>
          <w:rFonts w:eastAsia="Calibri" w:cs="Times New Roman"/>
          <w:sz w:val="28"/>
          <w:szCs w:val="20"/>
          <w:vertAlign w:val="subscript"/>
        </w:rPr>
        <w:t>Р</w:t>
      </w:r>
      <w:r w:rsidRPr="00EF5E00">
        <w:rPr>
          <w:rFonts w:eastAsia="Calibri" w:cs="Times New Roman"/>
          <w:sz w:val="28"/>
          <w:szCs w:val="20"/>
        </w:rPr>
        <w:t xml:space="preserve"> &gt; 1 проект эффективен.</w:t>
      </w:r>
    </w:p>
    <w:p w14:paraId="28F3E16B"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Период окупаемости инвестиций – это  период, за  который  отдача  на  вложенный  капитал  достигает  суммы  первоначальных  инвестиций. Первоначальные  вложения  включают  затраты  на  капитальное  строительство  и  эксплуатационные  расходы.</w:t>
      </w:r>
    </w:p>
    <w:p w14:paraId="2F1B9645"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П</w:t>
      </w:r>
      <w:r w:rsidRPr="00EF5E00">
        <w:rPr>
          <w:rFonts w:eastAsia="Calibri" w:cs="Times New Roman"/>
          <w:sz w:val="28"/>
          <w:szCs w:val="20"/>
          <w:vertAlign w:val="subscript"/>
        </w:rPr>
        <w:t>ОК</w:t>
      </w:r>
      <w:r w:rsidRPr="00EF5E00">
        <w:rPr>
          <w:rFonts w:eastAsia="Calibri" w:cs="Times New Roman"/>
          <w:sz w:val="28"/>
          <w:szCs w:val="20"/>
        </w:rPr>
        <w:t xml:space="preserve"> не должен быть больше длительности инвестиционного проекта.</w:t>
      </w:r>
    </w:p>
    <w:p w14:paraId="5060AB15"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bCs/>
          <w:i/>
          <w:sz w:val="28"/>
          <w:szCs w:val="20"/>
        </w:rPr>
        <w:t xml:space="preserve">ВНД </w:t>
      </w:r>
      <w:r w:rsidRPr="00EF5E00">
        <w:rPr>
          <w:rFonts w:eastAsia="Calibri" w:cs="Times New Roman"/>
          <w:i/>
          <w:sz w:val="28"/>
          <w:szCs w:val="20"/>
        </w:rPr>
        <w:t>( внутренняя норма доходности)</w:t>
      </w:r>
      <w:r w:rsidRPr="00EF5E00">
        <w:rPr>
          <w:rFonts w:eastAsia="Calibri" w:cs="Times New Roman"/>
          <w:sz w:val="28"/>
          <w:szCs w:val="20"/>
        </w:rPr>
        <w:t xml:space="preserve"> – это норма прибыли, получаемая в результате осуществления проекта, при равенстве текущей стоимости будущих доходов и первоначальных затрат. Это норма  дисконта, при  которой  отдача  от  инвестиционного  проекта  равна  первоначальным  вложениям  в проект.</w:t>
      </w:r>
    </w:p>
    <w:p w14:paraId="2790328D"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 xml:space="preserve"> Метод ВНД основывается на определении ставки дисконта, при которой ЧДС проекта была бы равна 0. ВНД  зависит от вида  вложений, страны, региона, отрасли. </w:t>
      </w:r>
    </w:p>
    <w:p w14:paraId="61F0109B" w14:textId="77777777" w:rsidR="00EF5E00" w:rsidRPr="00EF5E00" w:rsidRDefault="00EF5E00" w:rsidP="00EF5E00">
      <w:pPr>
        <w:tabs>
          <w:tab w:val="left" w:pos="9900"/>
        </w:tabs>
        <w:spacing w:line="360" w:lineRule="auto"/>
        <w:ind w:right="-3"/>
        <w:jc w:val="center"/>
        <w:outlineLvl w:val="0"/>
        <w:rPr>
          <w:rFonts w:eastAsia="Calibri" w:cs="Times New Roman"/>
          <w:sz w:val="28"/>
          <w:szCs w:val="28"/>
        </w:rPr>
      </w:pPr>
      <w:bookmarkStart w:id="27" w:name="_GoBack"/>
      <w:r w:rsidRPr="00EF5E00">
        <w:rPr>
          <w:rFonts w:eastAsia="Times New Roman" w:cs="Times New Roman"/>
          <w:b/>
          <w:sz w:val="28"/>
          <w:szCs w:val="28"/>
          <w:lang w:eastAsia="en-US"/>
        </w:rPr>
        <w:t>2.3 Управление функционированием объекта недвижимости</w:t>
      </w:r>
    </w:p>
    <w:bookmarkEnd w:id="27"/>
    <w:p w14:paraId="51B9EBCA" w14:textId="77777777" w:rsidR="003D32B7" w:rsidRDefault="003D32B7" w:rsidP="00EF5E00">
      <w:pPr>
        <w:tabs>
          <w:tab w:val="left" w:pos="9900"/>
        </w:tabs>
        <w:spacing w:line="360" w:lineRule="auto"/>
        <w:ind w:right="-3" w:firstLine="567"/>
        <w:jc w:val="both"/>
        <w:outlineLvl w:val="0"/>
        <w:rPr>
          <w:rFonts w:eastAsia="Calibri" w:cs="Times New Roman"/>
          <w:spacing w:val="-1"/>
          <w:sz w:val="28"/>
          <w:szCs w:val="20"/>
        </w:rPr>
      </w:pPr>
      <w:r w:rsidRPr="003D32B7">
        <w:rPr>
          <w:rFonts w:eastAsia="Calibri" w:cs="Times New Roman"/>
          <w:spacing w:val="-1"/>
          <w:sz w:val="28"/>
          <w:szCs w:val="20"/>
          <w:highlight w:val="yellow"/>
        </w:rPr>
        <w:t>Данный текст подлежит корректировке в зависимости от объекта. Если объект – жилой дом, необходимо указать, какая форма управления будет предполагаться после сдачи объекта в эксплуатацию – застройщик будет создавать новое ТСЖ или управляющую компанию для этого дома, либо присоединять дом к уже имеющейся УК  – которая создана ранее самим застройщиком, либо является отдельной независимой УК. Если объект – общественное здание, следует определить, какое юридическое лицо и на какой правовой основе будет управлять этим объектом.</w:t>
      </w:r>
      <w:r>
        <w:rPr>
          <w:rFonts w:eastAsia="Calibri" w:cs="Times New Roman"/>
          <w:spacing w:val="-1"/>
          <w:sz w:val="28"/>
          <w:szCs w:val="20"/>
        </w:rPr>
        <w:t xml:space="preserve"> </w:t>
      </w:r>
    </w:p>
    <w:p w14:paraId="64978A49"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pacing w:val="-1"/>
          <w:sz w:val="28"/>
          <w:szCs w:val="20"/>
        </w:rPr>
        <w:t>Среди объектов недвижимости жилищный фонд выделяется, прежде всего, своей социальной значи</w:t>
      </w:r>
      <w:r w:rsidRPr="00EF5E00">
        <w:rPr>
          <w:rFonts w:eastAsia="Calibri" w:cs="Times New Roman"/>
          <w:spacing w:val="-1"/>
          <w:sz w:val="28"/>
          <w:szCs w:val="20"/>
        </w:rPr>
        <w:softHyphen/>
      </w:r>
      <w:r w:rsidRPr="00EF5E00">
        <w:rPr>
          <w:rFonts w:eastAsia="Calibri" w:cs="Times New Roman"/>
          <w:sz w:val="28"/>
          <w:szCs w:val="20"/>
        </w:rPr>
        <w:t>мостью. В жилом помещении человек проводит боль</w:t>
      </w:r>
      <w:r w:rsidRPr="00EF5E00">
        <w:rPr>
          <w:rFonts w:eastAsia="Calibri" w:cs="Times New Roman"/>
          <w:sz w:val="28"/>
          <w:szCs w:val="20"/>
        </w:rPr>
        <w:softHyphen/>
        <w:t>шую часть своей жизни. И с этим связаны более жест</w:t>
      </w:r>
      <w:r w:rsidRPr="00EF5E00">
        <w:rPr>
          <w:rFonts w:eastAsia="Calibri" w:cs="Times New Roman"/>
          <w:sz w:val="28"/>
          <w:szCs w:val="20"/>
        </w:rPr>
        <w:softHyphen/>
        <w:t xml:space="preserve">кие требования к состоянию жилищного фонда, к </w:t>
      </w:r>
      <w:r w:rsidRPr="00EF5E00">
        <w:rPr>
          <w:rFonts w:eastAsia="Calibri" w:cs="Times New Roman"/>
          <w:spacing w:val="-3"/>
          <w:sz w:val="28"/>
          <w:szCs w:val="20"/>
        </w:rPr>
        <w:t xml:space="preserve">предоставлению коммунальных услуг, к обеспечению </w:t>
      </w:r>
      <w:r w:rsidRPr="00EF5E00">
        <w:rPr>
          <w:rFonts w:eastAsia="Calibri" w:cs="Times New Roman"/>
          <w:spacing w:val="-1"/>
          <w:sz w:val="28"/>
          <w:szCs w:val="20"/>
        </w:rPr>
        <w:t>безопасности проживания.</w:t>
      </w:r>
    </w:p>
    <w:p w14:paraId="24A0ED8F" w14:textId="77777777" w:rsidR="00EF5E00" w:rsidRPr="00EF5E00" w:rsidRDefault="00EF5E00" w:rsidP="00EF5E00">
      <w:pPr>
        <w:tabs>
          <w:tab w:val="left" w:pos="9900"/>
        </w:tabs>
        <w:spacing w:line="360" w:lineRule="auto"/>
        <w:ind w:right="-3" w:firstLine="567"/>
        <w:jc w:val="both"/>
        <w:outlineLvl w:val="0"/>
        <w:rPr>
          <w:rFonts w:eastAsia="Calibri" w:cs="Times New Roman"/>
          <w:color w:val="000000"/>
          <w:sz w:val="28"/>
          <w:szCs w:val="20"/>
        </w:rPr>
      </w:pPr>
      <w:r w:rsidRPr="00EF5E00">
        <w:rPr>
          <w:rFonts w:eastAsia="Calibri" w:cs="Times New Roman"/>
          <w:spacing w:val="-3"/>
          <w:sz w:val="28"/>
          <w:szCs w:val="20"/>
        </w:rPr>
        <w:t>По факту каждый многоквартирный дом является кон</w:t>
      </w:r>
      <w:r w:rsidRPr="00EF5E00">
        <w:rPr>
          <w:rFonts w:eastAsia="Calibri" w:cs="Times New Roman"/>
          <w:sz w:val="28"/>
          <w:szCs w:val="20"/>
        </w:rPr>
        <w:t xml:space="preserve">доминиумом. Иными словами, дом имеет несколько </w:t>
      </w:r>
      <w:r w:rsidRPr="00EF5E00">
        <w:rPr>
          <w:rFonts w:eastAsia="Calibri" w:cs="Times New Roman"/>
          <w:spacing w:val="-3"/>
          <w:sz w:val="28"/>
          <w:szCs w:val="20"/>
        </w:rPr>
        <w:t xml:space="preserve">собственников. Собственниками являются физические </w:t>
      </w:r>
      <w:r w:rsidRPr="00EF5E00">
        <w:rPr>
          <w:rFonts w:eastAsia="Calibri" w:cs="Times New Roman"/>
          <w:spacing w:val="-1"/>
          <w:sz w:val="28"/>
          <w:szCs w:val="20"/>
        </w:rPr>
        <w:t>лица, приватизировавшие жилые помещения или по</w:t>
      </w:r>
      <w:r w:rsidRPr="00EF5E00">
        <w:rPr>
          <w:rFonts w:eastAsia="Calibri" w:cs="Times New Roman"/>
          <w:spacing w:val="-1"/>
          <w:sz w:val="28"/>
          <w:szCs w:val="20"/>
        </w:rPr>
        <w:softHyphen/>
      </w:r>
      <w:r w:rsidRPr="00EF5E00">
        <w:rPr>
          <w:rFonts w:eastAsia="Calibri" w:cs="Times New Roman"/>
          <w:sz w:val="28"/>
          <w:szCs w:val="20"/>
        </w:rPr>
        <w:t>лучившие их в собственность на других основаниях, юридические лица, сдающие помещения в наем или использующие их для собственных нужд. Наиболее крупные собственники жилищного фонда — муници</w:t>
      </w:r>
      <w:r w:rsidRPr="00EF5E00">
        <w:rPr>
          <w:rFonts w:eastAsia="Calibri" w:cs="Times New Roman"/>
          <w:sz w:val="28"/>
          <w:szCs w:val="20"/>
        </w:rPr>
        <w:softHyphen/>
      </w:r>
      <w:r w:rsidRPr="00EF5E00">
        <w:rPr>
          <w:rFonts w:eastAsia="Calibri" w:cs="Times New Roman"/>
          <w:spacing w:val="-4"/>
          <w:sz w:val="28"/>
          <w:szCs w:val="20"/>
        </w:rPr>
        <w:t xml:space="preserve">палитеты. </w:t>
      </w:r>
      <w:r w:rsidRPr="00EF5E00">
        <w:rPr>
          <w:rFonts w:eastAsia="Calibri" w:cs="Times New Roman"/>
          <w:sz w:val="28"/>
          <w:szCs w:val="20"/>
        </w:rPr>
        <w:t xml:space="preserve">С наличием у объекта недвижимости нескольких </w:t>
      </w:r>
      <w:r w:rsidRPr="00EF5E00">
        <w:rPr>
          <w:rFonts w:eastAsia="Calibri" w:cs="Times New Roman"/>
          <w:spacing w:val="5"/>
          <w:sz w:val="28"/>
          <w:szCs w:val="20"/>
        </w:rPr>
        <w:t>собственников связана специфика управления им</w:t>
      </w:r>
      <w:r w:rsidRPr="00EF5E00">
        <w:rPr>
          <w:rFonts w:eastAsia="Calibri" w:cs="Times New Roman"/>
          <w:color w:val="000000"/>
          <w:spacing w:val="5"/>
          <w:sz w:val="28"/>
          <w:szCs w:val="20"/>
        </w:rPr>
        <w:t>.</w:t>
      </w:r>
    </w:p>
    <w:p w14:paraId="4CC65506"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 xml:space="preserve">В последнее десятилетие вышло ряд законодательных актов и постановлений как федеральных, так и местных властей, направленных на изменение или улучшение ситуации в жилищно-коммунальном хозяйстве. Все они рекомендуют передать жилую недвижимость в руки собственников путем создания товариществ собственников жилья (ТСЖ) и кондоминиумов. </w:t>
      </w:r>
    </w:p>
    <w:p w14:paraId="6FB8AB5B" w14:textId="77777777" w:rsidR="00EF5E00" w:rsidRPr="00EF5E00" w:rsidRDefault="00EF5E00" w:rsidP="00EF5E00">
      <w:pPr>
        <w:tabs>
          <w:tab w:val="left" w:pos="9900"/>
        </w:tabs>
        <w:spacing w:line="360" w:lineRule="auto"/>
        <w:ind w:right="-3" w:firstLine="567"/>
        <w:jc w:val="both"/>
        <w:outlineLvl w:val="0"/>
        <w:rPr>
          <w:rFonts w:eastAsia="Calibri" w:cs="Times New Roman"/>
          <w:spacing w:val="1"/>
          <w:sz w:val="28"/>
          <w:szCs w:val="20"/>
        </w:rPr>
      </w:pPr>
      <w:r w:rsidRPr="00EF5E00">
        <w:rPr>
          <w:rFonts w:eastAsia="Calibri" w:cs="Times New Roman"/>
          <w:spacing w:val="1"/>
          <w:sz w:val="28"/>
          <w:szCs w:val="20"/>
        </w:rPr>
        <w:t>Организации, специализирующиеся на управле</w:t>
      </w:r>
      <w:r w:rsidRPr="00EF5E00">
        <w:rPr>
          <w:rFonts w:eastAsia="Calibri" w:cs="Times New Roman"/>
          <w:spacing w:val="1"/>
          <w:sz w:val="28"/>
          <w:szCs w:val="20"/>
        </w:rPr>
        <w:softHyphen/>
        <w:t>нии жилищным фондом и предоставлении комму</w:t>
      </w:r>
      <w:r w:rsidRPr="00EF5E00">
        <w:rPr>
          <w:rFonts w:eastAsia="Calibri" w:cs="Times New Roman"/>
          <w:spacing w:val="1"/>
          <w:sz w:val="28"/>
          <w:szCs w:val="20"/>
        </w:rPr>
        <w:softHyphen/>
      </w:r>
      <w:r w:rsidRPr="00EF5E00">
        <w:rPr>
          <w:rFonts w:eastAsia="Calibri" w:cs="Times New Roman"/>
          <w:spacing w:val="-1"/>
          <w:sz w:val="28"/>
          <w:szCs w:val="20"/>
        </w:rPr>
        <w:t>нальных услуг, являются самостоятель</w:t>
      </w:r>
      <w:r w:rsidRPr="00EF5E00">
        <w:rPr>
          <w:rFonts w:eastAsia="Calibri" w:cs="Times New Roman"/>
          <w:spacing w:val="-1"/>
          <w:sz w:val="28"/>
          <w:szCs w:val="20"/>
        </w:rPr>
        <w:softHyphen/>
      </w:r>
      <w:r w:rsidRPr="00EF5E00">
        <w:rPr>
          <w:rFonts w:eastAsia="Calibri" w:cs="Times New Roman"/>
          <w:sz w:val="28"/>
          <w:szCs w:val="20"/>
        </w:rPr>
        <w:t>ными хозяйствующими субъектами — юридически</w:t>
      </w:r>
      <w:r w:rsidRPr="00EF5E00">
        <w:rPr>
          <w:rFonts w:eastAsia="Calibri" w:cs="Times New Roman"/>
          <w:sz w:val="28"/>
          <w:szCs w:val="20"/>
        </w:rPr>
        <w:softHyphen/>
      </w:r>
      <w:r w:rsidRPr="00EF5E00">
        <w:rPr>
          <w:rFonts w:eastAsia="Calibri" w:cs="Times New Roman"/>
          <w:spacing w:val="1"/>
          <w:sz w:val="28"/>
          <w:szCs w:val="20"/>
        </w:rPr>
        <w:t xml:space="preserve">ми лицами. </w:t>
      </w:r>
      <w:r w:rsidRPr="00EF5E00">
        <w:rPr>
          <w:rFonts w:eastAsia="Calibri" w:cs="Times New Roman"/>
          <w:sz w:val="28"/>
          <w:szCs w:val="20"/>
        </w:rPr>
        <w:t>Дан</w:t>
      </w:r>
      <w:r w:rsidRPr="00EF5E00">
        <w:rPr>
          <w:rFonts w:eastAsia="Calibri" w:cs="Times New Roman"/>
          <w:sz w:val="28"/>
          <w:szCs w:val="20"/>
        </w:rPr>
        <w:softHyphen/>
      </w:r>
      <w:r w:rsidRPr="00EF5E00">
        <w:rPr>
          <w:rFonts w:eastAsia="Calibri" w:cs="Times New Roman"/>
          <w:spacing w:val="-1"/>
          <w:sz w:val="28"/>
          <w:szCs w:val="20"/>
        </w:rPr>
        <w:t>ные организации могут иметь различную организаци</w:t>
      </w:r>
      <w:r w:rsidRPr="00EF5E00">
        <w:rPr>
          <w:rFonts w:eastAsia="Calibri" w:cs="Times New Roman"/>
          <w:spacing w:val="-1"/>
          <w:sz w:val="28"/>
          <w:szCs w:val="20"/>
        </w:rPr>
        <w:softHyphen/>
      </w:r>
      <w:r w:rsidRPr="00EF5E00">
        <w:rPr>
          <w:rFonts w:eastAsia="Calibri" w:cs="Times New Roman"/>
          <w:spacing w:val="1"/>
          <w:sz w:val="28"/>
          <w:szCs w:val="20"/>
        </w:rPr>
        <w:t>онно-правовую форму и форму собственности. Они могут:</w:t>
      </w:r>
    </w:p>
    <w:p w14:paraId="1A92BCA5" w14:textId="77777777" w:rsidR="00EF5E00" w:rsidRPr="00EF5E00" w:rsidRDefault="00EF5E00" w:rsidP="00EF5E00">
      <w:pPr>
        <w:numPr>
          <w:ilvl w:val="0"/>
          <w:numId w:val="8"/>
        </w:numPr>
        <w:tabs>
          <w:tab w:val="left" w:pos="9900"/>
        </w:tabs>
        <w:suppressAutoHyphens/>
        <w:spacing w:line="360" w:lineRule="auto"/>
        <w:ind w:right="-3"/>
        <w:jc w:val="both"/>
        <w:outlineLvl w:val="0"/>
        <w:rPr>
          <w:rFonts w:eastAsia="Calibri" w:cs="Times New Roman"/>
          <w:sz w:val="28"/>
          <w:szCs w:val="20"/>
        </w:rPr>
      </w:pPr>
      <w:r w:rsidRPr="00EF5E00">
        <w:rPr>
          <w:rFonts w:eastAsia="Calibri" w:cs="Times New Roman"/>
          <w:spacing w:val="1"/>
          <w:sz w:val="28"/>
          <w:szCs w:val="20"/>
        </w:rPr>
        <w:t>создаваться собственником-муниципали</w:t>
      </w:r>
      <w:r w:rsidRPr="00EF5E00">
        <w:rPr>
          <w:rFonts w:eastAsia="Calibri" w:cs="Times New Roman"/>
          <w:spacing w:val="1"/>
          <w:sz w:val="28"/>
          <w:szCs w:val="20"/>
        </w:rPr>
        <w:softHyphen/>
      </w:r>
      <w:r w:rsidRPr="00EF5E00">
        <w:rPr>
          <w:rFonts w:eastAsia="Calibri" w:cs="Times New Roman"/>
          <w:sz w:val="28"/>
          <w:szCs w:val="20"/>
        </w:rPr>
        <w:t>тетом или уполномоченными им органами;</w:t>
      </w:r>
    </w:p>
    <w:p w14:paraId="0A5BBFB7" w14:textId="77777777" w:rsidR="00EF5E00" w:rsidRPr="00EF5E00" w:rsidRDefault="00EF5E00" w:rsidP="00EF5E00">
      <w:pPr>
        <w:numPr>
          <w:ilvl w:val="0"/>
          <w:numId w:val="8"/>
        </w:numPr>
        <w:tabs>
          <w:tab w:val="left" w:pos="9900"/>
        </w:tabs>
        <w:suppressAutoHyphens/>
        <w:spacing w:line="360" w:lineRule="auto"/>
        <w:ind w:right="-3"/>
        <w:jc w:val="both"/>
        <w:outlineLvl w:val="0"/>
        <w:rPr>
          <w:rFonts w:eastAsia="Calibri" w:cs="Times New Roman"/>
          <w:sz w:val="28"/>
          <w:szCs w:val="20"/>
        </w:rPr>
      </w:pPr>
      <w:r w:rsidRPr="00EF5E00">
        <w:rPr>
          <w:rFonts w:eastAsia="Calibri" w:cs="Times New Roman"/>
          <w:sz w:val="28"/>
          <w:szCs w:val="20"/>
        </w:rPr>
        <w:t>из</w:t>
      </w:r>
      <w:r w:rsidRPr="00EF5E00">
        <w:rPr>
          <w:rFonts w:eastAsia="Calibri" w:cs="Times New Roman"/>
          <w:sz w:val="28"/>
          <w:szCs w:val="20"/>
        </w:rPr>
        <w:softHyphen/>
        <w:t>начально являться коммерческими структурами, соз</w:t>
      </w:r>
      <w:r w:rsidRPr="00EF5E00">
        <w:rPr>
          <w:rFonts w:eastAsia="Calibri" w:cs="Times New Roman"/>
          <w:sz w:val="28"/>
          <w:szCs w:val="20"/>
        </w:rPr>
        <w:softHyphen/>
        <w:t>данными третьими лицами;</w:t>
      </w:r>
    </w:p>
    <w:p w14:paraId="7CD684AD" w14:textId="77777777" w:rsidR="00EF5E00" w:rsidRPr="00EF5E00" w:rsidRDefault="00EF5E00" w:rsidP="00EF5E00">
      <w:pPr>
        <w:numPr>
          <w:ilvl w:val="0"/>
          <w:numId w:val="8"/>
        </w:numPr>
        <w:tabs>
          <w:tab w:val="left" w:pos="9900"/>
        </w:tabs>
        <w:suppressAutoHyphens/>
        <w:spacing w:line="360" w:lineRule="auto"/>
        <w:ind w:right="-3"/>
        <w:jc w:val="both"/>
        <w:outlineLvl w:val="0"/>
        <w:rPr>
          <w:rFonts w:eastAsia="Calibri" w:cs="Times New Roman"/>
          <w:sz w:val="28"/>
          <w:szCs w:val="20"/>
        </w:rPr>
      </w:pPr>
      <w:r w:rsidRPr="00EF5E00">
        <w:rPr>
          <w:rFonts w:eastAsia="Calibri" w:cs="Times New Roman"/>
          <w:sz w:val="28"/>
          <w:szCs w:val="20"/>
        </w:rPr>
        <w:t xml:space="preserve">быть </w:t>
      </w:r>
      <w:r w:rsidRPr="00EF5E00">
        <w:rPr>
          <w:rFonts w:eastAsia="Calibri" w:cs="Times New Roman"/>
          <w:spacing w:val="-1"/>
          <w:sz w:val="28"/>
          <w:szCs w:val="20"/>
        </w:rPr>
        <w:t xml:space="preserve">созданы на базе бывших структурных подразделений </w:t>
      </w:r>
      <w:r w:rsidRPr="00EF5E00">
        <w:rPr>
          <w:rFonts w:eastAsia="Calibri" w:cs="Times New Roman"/>
          <w:spacing w:val="1"/>
          <w:sz w:val="28"/>
          <w:szCs w:val="20"/>
        </w:rPr>
        <w:t>жилищных трестов, поменявших форму собствен</w:t>
      </w:r>
      <w:r w:rsidRPr="00EF5E00">
        <w:rPr>
          <w:rFonts w:eastAsia="Calibri" w:cs="Times New Roman"/>
          <w:spacing w:val="1"/>
          <w:sz w:val="28"/>
          <w:szCs w:val="20"/>
        </w:rPr>
        <w:softHyphen/>
      </w:r>
      <w:r w:rsidRPr="00EF5E00">
        <w:rPr>
          <w:rFonts w:eastAsia="Calibri" w:cs="Times New Roman"/>
          <w:spacing w:val="3"/>
          <w:sz w:val="28"/>
          <w:szCs w:val="20"/>
        </w:rPr>
        <w:t>ности в процессе приватизации.</w:t>
      </w:r>
    </w:p>
    <w:p w14:paraId="4CACDFB3" w14:textId="77777777" w:rsidR="00EF5E00" w:rsidRPr="00EF5E00" w:rsidRDefault="00EF5E00" w:rsidP="00EF5E00">
      <w:pPr>
        <w:tabs>
          <w:tab w:val="left" w:pos="9900"/>
        </w:tabs>
        <w:spacing w:line="360" w:lineRule="auto"/>
        <w:ind w:right="-3" w:firstLine="567"/>
        <w:jc w:val="both"/>
        <w:outlineLvl w:val="0"/>
        <w:rPr>
          <w:rFonts w:eastAsia="Calibri" w:cs="Times New Roman"/>
          <w:spacing w:val="-2"/>
          <w:sz w:val="28"/>
          <w:szCs w:val="20"/>
        </w:rPr>
      </w:pPr>
      <w:r w:rsidRPr="00EF5E00">
        <w:rPr>
          <w:rFonts w:eastAsia="Calibri" w:cs="Times New Roman"/>
          <w:sz w:val="28"/>
          <w:szCs w:val="20"/>
        </w:rPr>
        <w:t>В зависимости от организационно-правовой формы они будут нести различную ответ</w:t>
      </w:r>
      <w:r w:rsidRPr="00EF5E00">
        <w:rPr>
          <w:rFonts w:eastAsia="Calibri" w:cs="Times New Roman"/>
          <w:sz w:val="28"/>
          <w:szCs w:val="20"/>
        </w:rPr>
        <w:softHyphen/>
        <w:t xml:space="preserve">ственность по своим обязательствам, и пользоваться </w:t>
      </w:r>
      <w:r w:rsidRPr="00EF5E00">
        <w:rPr>
          <w:rFonts w:eastAsia="Calibri" w:cs="Times New Roman"/>
          <w:spacing w:val="2"/>
          <w:sz w:val="28"/>
          <w:szCs w:val="20"/>
        </w:rPr>
        <w:t xml:space="preserve">различным объемом полномочий по управлению </w:t>
      </w:r>
      <w:r w:rsidRPr="00EF5E00">
        <w:rPr>
          <w:rFonts w:eastAsia="Calibri" w:cs="Times New Roman"/>
          <w:spacing w:val="-2"/>
          <w:sz w:val="28"/>
          <w:szCs w:val="20"/>
        </w:rPr>
        <w:t>собственным или закрепленным за ними имуществом.</w:t>
      </w:r>
      <w:r w:rsidRPr="00EF5E00">
        <w:rPr>
          <w:rFonts w:eastAsia="Calibri" w:cs="Times New Roman"/>
          <w:sz w:val="28"/>
          <w:szCs w:val="20"/>
        </w:rPr>
        <w:t xml:space="preserve"> [39]</w:t>
      </w:r>
    </w:p>
    <w:p w14:paraId="1F0EC3CD" w14:textId="77777777" w:rsidR="00EF5E00" w:rsidRPr="00EF5E00" w:rsidRDefault="00EF5E00" w:rsidP="00EF5E00">
      <w:pPr>
        <w:tabs>
          <w:tab w:val="left" w:pos="9900"/>
        </w:tabs>
        <w:spacing w:line="360" w:lineRule="auto"/>
        <w:ind w:right="-3" w:firstLine="567"/>
        <w:jc w:val="both"/>
        <w:outlineLvl w:val="0"/>
        <w:rPr>
          <w:rFonts w:eastAsia="Calibri" w:cs="Times New Roman"/>
          <w:b/>
          <w:sz w:val="28"/>
          <w:szCs w:val="20"/>
        </w:rPr>
      </w:pPr>
      <w:r w:rsidRPr="00EF5E00">
        <w:rPr>
          <w:rFonts w:eastAsia="Calibri" w:cs="Times New Roman"/>
          <w:sz w:val="28"/>
          <w:szCs w:val="20"/>
        </w:rPr>
        <w:t>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w:t>
      </w:r>
    </w:p>
    <w:p w14:paraId="147A46EC" w14:textId="77777777" w:rsidR="00EF5E00" w:rsidRPr="00EF5E00" w:rsidRDefault="00EF5E00" w:rsidP="00EF5E00">
      <w:pPr>
        <w:tabs>
          <w:tab w:val="left" w:pos="9900"/>
        </w:tabs>
        <w:spacing w:line="360" w:lineRule="auto"/>
        <w:ind w:right="-3" w:firstLine="567"/>
        <w:jc w:val="both"/>
        <w:outlineLvl w:val="0"/>
        <w:rPr>
          <w:rFonts w:eastAsia="Calibri" w:cs="Times New Roman"/>
          <w:b/>
          <w:sz w:val="28"/>
          <w:szCs w:val="20"/>
        </w:rPr>
      </w:pPr>
      <w:r w:rsidRPr="00EF5E00">
        <w:rPr>
          <w:rFonts w:eastAsia="Calibri" w:cs="Times New Roman"/>
          <w:sz w:val="28"/>
          <w:szCs w:val="20"/>
        </w:rPr>
        <w:t>Собственники помещений в многоквартирном доме обязаны выбрать один из способов управления многоквартирным домом:</w:t>
      </w:r>
    </w:p>
    <w:p w14:paraId="31FF8F19"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1) непосредственное управление собственниками помещений в многоквартирном доме;</w:t>
      </w:r>
    </w:p>
    <w:p w14:paraId="342170DF"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2) управление товариществом собственников жилья либо жилищным кооперативом или иным специализированным потребительским кооперативом;</w:t>
      </w:r>
    </w:p>
    <w:p w14:paraId="01F3FD19"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 xml:space="preserve">3) управление управляющей организацией. </w:t>
      </w:r>
    </w:p>
    <w:p w14:paraId="084152A5"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u w:val="single"/>
        </w:rPr>
      </w:pPr>
      <w:r w:rsidRPr="00EF5E00">
        <w:rPr>
          <w:rFonts w:eastAsia="Calibri" w:cs="Times New Roman"/>
          <w:sz w:val="28"/>
          <w:szCs w:val="20"/>
          <w:u w:val="single"/>
        </w:rPr>
        <w:t>Разновидности управляющих организаций.</w:t>
      </w:r>
    </w:p>
    <w:p w14:paraId="4D0C3E03"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i/>
          <w:sz w:val="28"/>
          <w:szCs w:val="20"/>
        </w:rPr>
        <w:t>Управляющая компания</w:t>
      </w:r>
      <w:r w:rsidRPr="00EF5E00">
        <w:rPr>
          <w:rFonts w:eastAsia="Calibri" w:cs="Times New Roman"/>
          <w:sz w:val="28"/>
          <w:szCs w:val="20"/>
        </w:rPr>
        <w:t xml:space="preserve"> - это коммерческая или некоммерческая организация, основная цель которой это предоставление жилищных услуг. </w:t>
      </w:r>
    </w:p>
    <w:p w14:paraId="69B3E127"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0"/>
        </w:rPr>
      </w:pPr>
      <w:r w:rsidRPr="00EF5E00">
        <w:rPr>
          <w:rFonts w:eastAsia="Calibri" w:cs="Times New Roman"/>
          <w:sz w:val="28"/>
          <w:szCs w:val="20"/>
        </w:rPr>
        <w:t xml:space="preserve">Управляющие компании получают в своё управление большой объём муниципальной собственности, самостоятельно ведут инвестиционную деятельность, как в новом жилищном строительстве, так и в реконструкции жилищного фонда. </w:t>
      </w:r>
    </w:p>
    <w:p w14:paraId="34D1918D" w14:textId="77777777" w:rsidR="00EF5E00" w:rsidRPr="00EF5E00" w:rsidRDefault="00EF5E00" w:rsidP="00EF5E00">
      <w:pPr>
        <w:tabs>
          <w:tab w:val="left" w:pos="9900"/>
        </w:tabs>
        <w:spacing w:line="360" w:lineRule="auto"/>
        <w:ind w:right="-3" w:firstLine="567"/>
        <w:jc w:val="both"/>
        <w:outlineLvl w:val="0"/>
        <w:rPr>
          <w:rFonts w:eastAsia="Calibri" w:cs="Times New Roman"/>
          <w:sz w:val="28"/>
          <w:szCs w:val="28"/>
        </w:rPr>
      </w:pPr>
      <w:r w:rsidRPr="00EF5E00">
        <w:rPr>
          <w:rFonts w:eastAsia="Calibri" w:cs="Times New Roman"/>
          <w:i/>
          <w:sz w:val="28"/>
          <w:szCs w:val="20"/>
        </w:rPr>
        <w:t>Товарищество собственников жилья (ТСЖ)</w:t>
      </w:r>
      <w:r w:rsidRPr="00EF5E00">
        <w:rPr>
          <w:rFonts w:eastAsia="Calibri" w:cs="Times New Roman"/>
          <w:sz w:val="28"/>
          <w:szCs w:val="20"/>
        </w:rPr>
        <w:t xml:space="preserve"> - некоммерческая организация, объединение собственников помещений в многоквартирном доме для совместного управления комплексом недвижимого имущества в многоквартирном доме, обеспечения эксплуатации этого комплекса, владения, пользования и в установленных законодательством пределах </w:t>
      </w:r>
      <w:r w:rsidRPr="00EF5E00">
        <w:rPr>
          <w:rFonts w:eastAsia="Calibri" w:cs="Times New Roman"/>
          <w:sz w:val="28"/>
          <w:szCs w:val="28"/>
        </w:rPr>
        <w:t>распоряжения общим имуществом в многоквартирном доме.</w:t>
      </w:r>
    </w:p>
    <w:p w14:paraId="66C995C7" w14:textId="77777777" w:rsidR="00484EEA" w:rsidRPr="00EF5E00" w:rsidRDefault="00EF5E00" w:rsidP="00EF5E00">
      <w:pPr>
        <w:spacing w:line="360" w:lineRule="auto"/>
        <w:rPr>
          <w:sz w:val="28"/>
          <w:szCs w:val="28"/>
        </w:rPr>
      </w:pPr>
      <w:r w:rsidRPr="00EF5E00">
        <w:rPr>
          <w:rFonts w:eastAsia="Times New Roman" w:cs="Times New Roman"/>
          <w:sz w:val="28"/>
          <w:szCs w:val="28"/>
          <w:lang w:eastAsia="ar-SA"/>
        </w:rPr>
        <w:t xml:space="preserve">При </w:t>
      </w:r>
      <w:r w:rsidRPr="00EF5E00">
        <w:rPr>
          <w:rFonts w:eastAsia="Times New Roman" w:cs="Times New Roman"/>
          <w:i/>
          <w:sz w:val="28"/>
          <w:szCs w:val="28"/>
          <w:lang w:eastAsia="ar-SA"/>
        </w:rPr>
        <w:t>непосредственном управлении</w:t>
      </w:r>
      <w:r w:rsidRPr="00EF5E00">
        <w:rPr>
          <w:rFonts w:eastAsia="Times New Roman" w:cs="Times New Roman"/>
          <w:sz w:val="28"/>
          <w:szCs w:val="28"/>
          <w:lang w:eastAsia="ar-SA"/>
        </w:rPr>
        <w:t xml:space="preserve"> многоквартирным домом собственниками помещений в таком доме договоры оказания услуг по содержанию и/или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w:t>
      </w:r>
    </w:p>
    <w:sectPr w:rsidR="00484EEA" w:rsidRPr="00EF5E00" w:rsidSect="0093687E">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Lucida Grande CY">
    <w:panose1 w:val="020B0600040502020204"/>
    <w:charset w:val="59"/>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775F5"/>
    <w:multiLevelType w:val="hybridMultilevel"/>
    <w:tmpl w:val="C3368CE2"/>
    <w:lvl w:ilvl="0" w:tplc="C914BB8E">
      <w:start w:val="1"/>
      <w:numFmt w:val="decimal"/>
      <w:lvlText w:val="%1."/>
      <w:lvlJc w:val="left"/>
      <w:pPr>
        <w:ind w:left="1495" w:hanging="360"/>
      </w:pPr>
      <w:rPr>
        <w:rFonts w:cs="Times New Roman" w:hint="default"/>
      </w:rPr>
    </w:lvl>
    <w:lvl w:ilvl="1" w:tplc="04190019">
      <w:start w:val="1"/>
      <w:numFmt w:val="lowerLetter"/>
      <w:lvlText w:val="%2."/>
      <w:lvlJc w:val="left"/>
      <w:pPr>
        <w:ind w:left="2215" w:hanging="360"/>
      </w:pPr>
      <w:rPr>
        <w:rFonts w:cs="Times New Roman"/>
      </w:rPr>
    </w:lvl>
    <w:lvl w:ilvl="2" w:tplc="0419001B">
      <w:start w:val="1"/>
      <w:numFmt w:val="lowerRoman"/>
      <w:lvlText w:val="%3."/>
      <w:lvlJc w:val="right"/>
      <w:pPr>
        <w:ind w:left="2935" w:hanging="180"/>
      </w:pPr>
      <w:rPr>
        <w:rFonts w:cs="Times New Roman"/>
      </w:rPr>
    </w:lvl>
    <w:lvl w:ilvl="3" w:tplc="0419000F">
      <w:start w:val="1"/>
      <w:numFmt w:val="decimal"/>
      <w:lvlText w:val="%4."/>
      <w:lvlJc w:val="left"/>
      <w:pPr>
        <w:ind w:left="3655" w:hanging="360"/>
      </w:pPr>
      <w:rPr>
        <w:rFonts w:cs="Times New Roman"/>
      </w:rPr>
    </w:lvl>
    <w:lvl w:ilvl="4" w:tplc="04190019">
      <w:start w:val="1"/>
      <w:numFmt w:val="lowerLetter"/>
      <w:lvlText w:val="%5."/>
      <w:lvlJc w:val="left"/>
      <w:pPr>
        <w:ind w:left="4375" w:hanging="360"/>
      </w:pPr>
      <w:rPr>
        <w:rFonts w:cs="Times New Roman"/>
      </w:rPr>
    </w:lvl>
    <w:lvl w:ilvl="5" w:tplc="0419001B">
      <w:start w:val="1"/>
      <w:numFmt w:val="lowerRoman"/>
      <w:lvlText w:val="%6."/>
      <w:lvlJc w:val="right"/>
      <w:pPr>
        <w:ind w:left="5095" w:hanging="180"/>
      </w:pPr>
      <w:rPr>
        <w:rFonts w:cs="Times New Roman"/>
      </w:rPr>
    </w:lvl>
    <w:lvl w:ilvl="6" w:tplc="0419000F">
      <w:start w:val="1"/>
      <w:numFmt w:val="decimal"/>
      <w:lvlText w:val="%7."/>
      <w:lvlJc w:val="left"/>
      <w:pPr>
        <w:ind w:left="5815" w:hanging="360"/>
      </w:pPr>
      <w:rPr>
        <w:rFonts w:cs="Times New Roman"/>
      </w:rPr>
    </w:lvl>
    <w:lvl w:ilvl="7" w:tplc="04190019">
      <w:start w:val="1"/>
      <w:numFmt w:val="lowerLetter"/>
      <w:lvlText w:val="%8."/>
      <w:lvlJc w:val="left"/>
      <w:pPr>
        <w:ind w:left="6535" w:hanging="360"/>
      </w:pPr>
      <w:rPr>
        <w:rFonts w:cs="Times New Roman"/>
      </w:rPr>
    </w:lvl>
    <w:lvl w:ilvl="8" w:tplc="0419001B">
      <w:start w:val="1"/>
      <w:numFmt w:val="lowerRoman"/>
      <w:lvlText w:val="%9."/>
      <w:lvlJc w:val="right"/>
      <w:pPr>
        <w:ind w:left="7255" w:hanging="180"/>
      </w:pPr>
      <w:rPr>
        <w:rFonts w:cs="Times New Roman"/>
      </w:rPr>
    </w:lvl>
  </w:abstractNum>
  <w:abstractNum w:abstractNumId="1">
    <w:nsid w:val="1A961B04"/>
    <w:multiLevelType w:val="hybridMultilevel"/>
    <w:tmpl w:val="4C084FB0"/>
    <w:lvl w:ilvl="0" w:tplc="95D8FCC0">
      <w:start w:val="1"/>
      <w:numFmt w:val="bullet"/>
      <w:lvlText w:val="­"/>
      <w:lvlJc w:val="left"/>
      <w:pPr>
        <w:ind w:left="1429" w:hanging="360"/>
      </w:pPr>
      <w:rPr>
        <w:rFonts w:ascii="Courier New" w:hAnsi="Courier New"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27A21F94"/>
    <w:multiLevelType w:val="hybridMultilevel"/>
    <w:tmpl w:val="EA80B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2122E7"/>
    <w:multiLevelType w:val="hybridMultilevel"/>
    <w:tmpl w:val="1B40C192"/>
    <w:lvl w:ilvl="0" w:tplc="FD8224EE">
      <w:start w:val="1"/>
      <w:numFmt w:val="decimal"/>
      <w:lvlText w:val="%1."/>
      <w:lvlJc w:val="left"/>
      <w:pPr>
        <w:ind w:left="1495" w:hanging="360"/>
      </w:pPr>
      <w:rPr>
        <w:rFonts w:cs="Times New Roman" w:hint="default"/>
      </w:rPr>
    </w:lvl>
    <w:lvl w:ilvl="1" w:tplc="04190019">
      <w:start w:val="1"/>
      <w:numFmt w:val="lowerLetter"/>
      <w:lvlText w:val="%2."/>
      <w:lvlJc w:val="left"/>
      <w:pPr>
        <w:ind w:left="2215" w:hanging="360"/>
      </w:pPr>
      <w:rPr>
        <w:rFonts w:cs="Times New Roman"/>
      </w:rPr>
    </w:lvl>
    <w:lvl w:ilvl="2" w:tplc="0419001B">
      <w:start w:val="1"/>
      <w:numFmt w:val="lowerRoman"/>
      <w:lvlText w:val="%3."/>
      <w:lvlJc w:val="right"/>
      <w:pPr>
        <w:ind w:left="2935" w:hanging="180"/>
      </w:pPr>
      <w:rPr>
        <w:rFonts w:cs="Times New Roman"/>
      </w:rPr>
    </w:lvl>
    <w:lvl w:ilvl="3" w:tplc="0419000F">
      <w:start w:val="1"/>
      <w:numFmt w:val="decimal"/>
      <w:lvlText w:val="%4."/>
      <w:lvlJc w:val="left"/>
      <w:pPr>
        <w:ind w:left="3655" w:hanging="360"/>
      </w:pPr>
      <w:rPr>
        <w:rFonts w:cs="Times New Roman"/>
      </w:rPr>
    </w:lvl>
    <w:lvl w:ilvl="4" w:tplc="04190019">
      <w:start w:val="1"/>
      <w:numFmt w:val="lowerLetter"/>
      <w:lvlText w:val="%5."/>
      <w:lvlJc w:val="left"/>
      <w:pPr>
        <w:ind w:left="4375" w:hanging="360"/>
      </w:pPr>
      <w:rPr>
        <w:rFonts w:cs="Times New Roman"/>
      </w:rPr>
    </w:lvl>
    <w:lvl w:ilvl="5" w:tplc="0419001B">
      <w:start w:val="1"/>
      <w:numFmt w:val="lowerRoman"/>
      <w:lvlText w:val="%6."/>
      <w:lvlJc w:val="right"/>
      <w:pPr>
        <w:ind w:left="5095" w:hanging="180"/>
      </w:pPr>
      <w:rPr>
        <w:rFonts w:cs="Times New Roman"/>
      </w:rPr>
    </w:lvl>
    <w:lvl w:ilvl="6" w:tplc="0419000F">
      <w:start w:val="1"/>
      <w:numFmt w:val="decimal"/>
      <w:lvlText w:val="%7."/>
      <w:lvlJc w:val="left"/>
      <w:pPr>
        <w:ind w:left="5815" w:hanging="360"/>
      </w:pPr>
      <w:rPr>
        <w:rFonts w:cs="Times New Roman"/>
      </w:rPr>
    </w:lvl>
    <w:lvl w:ilvl="7" w:tplc="04190019">
      <w:start w:val="1"/>
      <w:numFmt w:val="lowerLetter"/>
      <w:lvlText w:val="%8."/>
      <w:lvlJc w:val="left"/>
      <w:pPr>
        <w:ind w:left="6535" w:hanging="360"/>
      </w:pPr>
      <w:rPr>
        <w:rFonts w:cs="Times New Roman"/>
      </w:rPr>
    </w:lvl>
    <w:lvl w:ilvl="8" w:tplc="0419001B">
      <w:start w:val="1"/>
      <w:numFmt w:val="lowerRoman"/>
      <w:lvlText w:val="%9."/>
      <w:lvlJc w:val="right"/>
      <w:pPr>
        <w:ind w:left="7255" w:hanging="180"/>
      </w:pPr>
      <w:rPr>
        <w:rFonts w:cs="Times New Roman"/>
      </w:rPr>
    </w:lvl>
  </w:abstractNum>
  <w:abstractNum w:abstractNumId="4">
    <w:nsid w:val="40F940A3"/>
    <w:multiLevelType w:val="hybridMultilevel"/>
    <w:tmpl w:val="D57EF7AA"/>
    <w:lvl w:ilvl="0" w:tplc="9E9667C4">
      <w:start w:val="1"/>
      <w:numFmt w:val="bullet"/>
      <w:lvlText w:val=""/>
      <w:lvlJc w:val="left"/>
      <w:pPr>
        <w:ind w:left="1494" w:hanging="360"/>
      </w:pPr>
      <w:rPr>
        <w:rFonts w:ascii="Symbol" w:hAnsi="Symbol" w:hint="default"/>
      </w:rPr>
    </w:lvl>
    <w:lvl w:ilvl="1" w:tplc="636CB5D8">
      <w:start w:val="1"/>
      <w:numFmt w:val="bullet"/>
      <w:lvlText w:val="o"/>
      <w:lvlJc w:val="left"/>
      <w:pPr>
        <w:ind w:left="2214" w:hanging="360"/>
      </w:pPr>
      <w:rPr>
        <w:rFonts w:ascii="Courier New" w:hAnsi="Courier New" w:hint="default"/>
      </w:rPr>
    </w:lvl>
    <w:lvl w:ilvl="2" w:tplc="9A5C3B54">
      <w:start w:val="1"/>
      <w:numFmt w:val="bullet"/>
      <w:lvlText w:val=""/>
      <w:lvlJc w:val="left"/>
      <w:pPr>
        <w:ind w:left="2934" w:hanging="360"/>
      </w:pPr>
      <w:rPr>
        <w:rFonts w:ascii="Wingdings" w:hAnsi="Wingdings" w:hint="default"/>
      </w:rPr>
    </w:lvl>
    <w:lvl w:ilvl="3" w:tplc="53B00758">
      <w:start w:val="1"/>
      <w:numFmt w:val="bullet"/>
      <w:lvlText w:val=""/>
      <w:lvlJc w:val="left"/>
      <w:pPr>
        <w:ind w:left="3654" w:hanging="360"/>
      </w:pPr>
      <w:rPr>
        <w:rFonts w:ascii="Symbol" w:hAnsi="Symbol" w:hint="default"/>
      </w:rPr>
    </w:lvl>
    <w:lvl w:ilvl="4" w:tplc="22EAD4E6">
      <w:start w:val="1"/>
      <w:numFmt w:val="bullet"/>
      <w:lvlText w:val="o"/>
      <w:lvlJc w:val="left"/>
      <w:pPr>
        <w:ind w:left="4374" w:hanging="360"/>
      </w:pPr>
      <w:rPr>
        <w:rFonts w:ascii="Courier New" w:hAnsi="Courier New" w:hint="default"/>
      </w:rPr>
    </w:lvl>
    <w:lvl w:ilvl="5" w:tplc="F2AE9EE0">
      <w:start w:val="1"/>
      <w:numFmt w:val="bullet"/>
      <w:lvlText w:val=""/>
      <w:lvlJc w:val="left"/>
      <w:pPr>
        <w:ind w:left="5094" w:hanging="360"/>
      </w:pPr>
      <w:rPr>
        <w:rFonts w:ascii="Wingdings" w:hAnsi="Wingdings" w:hint="default"/>
      </w:rPr>
    </w:lvl>
    <w:lvl w:ilvl="6" w:tplc="65CC9D1A">
      <w:start w:val="1"/>
      <w:numFmt w:val="bullet"/>
      <w:lvlText w:val=""/>
      <w:lvlJc w:val="left"/>
      <w:pPr>
        <w:ind w:left="5814" w:hanging="360"/>
      </w:pPr>
      <w:rPr>
        <w:rFonts w:ascii="Symbol" w:hAnsi="Symbol" w:hint="default"/>
      </w:rPr>
    </w:lvl>
    <w:lvl w:ilvl="7" w:tplc="9FB09234">
      <w:start w:val="1"/>
      <w:numFmt w:val="bullet"/>
      <w:lvlText w:val="o"/>
      <w:lvlJc w:val="left"/>
      <w:pPr>
        <w:ind w:left="6534" w:hanging="360"/>
      </w:pPr>
      <w:rPr>
        <w:rFonts w:ascii="Courier New" w:hAnsi="Courier New" w:hint="default"/>
      </w:rPr>
    </w:lvl>
    <w:lvl w:ilvl="8" w:tplc="795C395C">
      <w:start w:val="1"/>
      <w:numFmt w:val="bullet"/>
      <w:lvlText w:val=""/>
      <w:lvlJc w:val="left"/>
      <w:pPr>
        <w:ind w:left="7254" w:hanging="360"/>
      </w:pPr>
      <w:rPr>
        <w:rFonts w:ascii="Wingdings" w:hAnsi="Wingdings" w:hint="default"/>
      </w:rPr>
    </w:lvl>
  </w:abstractNum>
  <w:abstractNum w:abstractNumId="5">
    <w:nsid w:val="433D4584"/>
    <w:multiLevelType w:val="hybridMultilevel"/>
    <w:tmpl w:val="2E5A7A38"/>
    <w:lvl w:ilvl="0" w:tplc="5AB65736">
      <w:numFmt w:val="bullet"/>
      <w:lvlText w:val="-"/>
      <w:lvlJc w:val="left"/>
      <w:pPr>
        <w:tabs>
          <w:tab w:val="num" w:pos="1495"/>
        </w:tabs>
        <w:ind w:left="1495" w:hanging="360"/>
      </w:pPr>
      <w:rPr>
        <w:rFonts w:ascii="Times New Roman" w:eastAsia="Times New Roman" w:hAnsi="Times New Roman" w:hint="default"/>
      </w:rPr>
    </w:lvl>
    <w:lvl w:ilvl="1" w:tplc="0EC60818">
      <w:start w:val="1"/>
      <w:numFmt w:val="bullet"/>
      <w:lvlText w:val="o"/>
      <w:lvlJc w:val="left"/>
      <w:pPr>
        <w:ind w:left="2575" w:hanging="360"/>
      </w:pPr>
      <w:rPr>
        <w:rFonts w:ascii="Courier New" w:hAnsi="Courier New" w:hint="default"/>
      </w:rPr>
    </w:lvl>
    <w:lvl w:ilvl="2" w:tplc="CE16A070">
      <w:start w:val="1"/>
      <w:numFmt w:val="bullet"/>
      <w:lvlText w:val=""/>
      <w:lvlJc w:val="left"/>
      <w:pPr>
        <w:ind w:left="3295" w:hanging="360"/>
      </w:pPr>
      <w:rPr>
        <w:rFonts w:ascii="Wingdings" w:hAnsi="Wingdings" w:hint="default"/>
      </w:rPr>
    </w:lvl>
    <w:lvl w:ilvl="3" w:tplc="72E42B26">
      <w:start w:val="1"/>
      <w:numFmt w:val="bullet"/>
      <w:lvlText w:val=""/>
      <w:lvlJc w:val="left"/>
      <w:pPr>
        <w:ind w:left="4015" w:hanging="360"/>
      </w:pPr>
      <w:rPr>
        <w:rFonts w:ascii="Symbol" w:hAnsi="Symbol" w:hint="default"/>
      </w:rPr>
    </w:lvl>
    <w:lvl w:ilvl="4" w:tplc="D25E0DB2">
      <w:start w:val="1"/>
      <w:numFmt w:val="bullet"/>
      <w:lvlText w:val="o"/>
      <w:lvlJc w:val="left"/>
      <w:pPr>
        <w:ind w:left="4735" w:hanging="360"/>
      </w:pPr>
      <w:rPr>
        <w:rFonts w:ascii="Courier New" w:hAnsi="Courier New" w:hint="default"/>
      </w:rPr>
    </w:lvl>
    <w:lvl w:ilvl="5" w:tplc="A8322320">
      <w:start w:val="1"/>
      <w:numFmt w:val="bullet"/>
      <w:lvlText w:val=""/>
      <w:lvlJc w:val="left"/>
      <w:pPr>
        <w:ind w:left="5455" w:hanging="360"/>
      </w:pPr>
      <w:rPr>
        <w:rFonts w:ascii="Wingdings" w:hAnsi="Wingdings" w:hint="default"/>
      </w:rPr>
    </w:lvl>
    <w:lvl w:ilvl="6" w:tplc="E7EE460C">
      <w:start w:val="1"/>
      <w:numFmt w:val="bullet"/>
      <w:lvlText w:val=""/>
      <w:lvlJc w:val="left"/>
      <w:pPr>
        <w:ind w:left="6175" w:hanging="360"/>
      </w:pPr>
      <w:rPr>
        <w:rFonts w:ascii="Symbol" w:hAnsi="Symbol" w:hint="default"/>
      </w:rPr>
    </w:lvl>
    <w:lvl w:ilvl="7" w:tplc="98429078">
      <w:start w:val="1"/>
      <w:numFmt w:val="bullet"/>
      <w:lvlText w:val="o"/>
      <w:lvlJc w:val="left"/>
      <w:pPr>
        <w:ind w:left="6895" w:hanging="360"/>
      </w:pPr>
      <w:rPr>
        <w:rFonts w:ascii="Courier New" w:hAnsi="Courier New" w:hint="default"/>
      </w:rPr>
    </w:lvl>
    <w:lvl w:ilvl="8" w:tplc="BA66573E">
      <w:start w:val="1"/>
      <w:numFmt w:val="bullet"/>
      <w:lvlText w:val=""/>
      <w:lvlJc w:val="left"/>
      <w:pPr>
        <w:ind w:left="7615" w:hanging="360"/>
      </w:pPr>
      <w:rPr>
        <w:rFonts w:ascii="Wingdings" w:hAnsi="Wingdings" w:hint="default"/>
      </w:rPr>
    </w:lvl>
  </w:abstractNum>
  <w:abstractNum w:abstractNumId="6">
    <w:nsid w:val="51B85858"/>
    <w:multiLevelType w:val="hybridMultilevel"/>
    <w:tmpl w:val="05669C24"/>
    <w:lvl w:ilvl="0" w:tplc="A0263D0E">
      <w:start w:val="1"/>
      <w:numFmt w:val="bullet"/>
      <w:lvlText w:val="­"/>
      <w:lvlJc w:val="left"/>
      <w:pPr>
        <w:ind w:left="1429" w:hanging="360"/>
      </w:pPr>
      <w:rPr>
        <w:rFonts w:ascii="Courier New" w:hAnsi="Courier New" w:hint="default"/>
      </w:rPr>
    </w:lvl>
    <w:lvl w:ilvl="1" w:tplc="8B70BFA8">
      <w:start w:val="1"/>
      <w:numFmt w:val="bullet"/>
      <w:lvlText w:val="o"/>
      <w:lvlJc w:val="left"/>
      <w:pPr>
        <w:ind w:left="2149" w:hanging="360"/>
      </w:pPr>
      <w:rPr>
        <w:rFonts w:ascii="Courier New" w:hAnsi="Courier New" w:hint="default"/>
      </w:rPr>
    </w:lvl>
    <w:lvl w:ilvl="2" w:tplc="150CBE02">
      <w:start w:val="1"/>
      <w:numFmt w:val="bullet"/>
      <w:lvlText w:val=""/>
      <w:lvlJc w:val="left"/>
      <w:pPr>
        <w:ind w:left="2869" w:hanging="360"/>
      </w:pPr>
      <w:rPr>
        <w:rFonts w:ascii="Wingdings" w:hAnsi="Wingdings" w:hint="default"/>
      </w:rPr>
    </w:lvl>
    <w:lvl w:ilvl="3" w:tplc="E7B6E76C">
      <w:start w:val="1"/>
      <w:numFmt w:val="bullet"/>
      <w:lvlText w:val=""/>
      <w:lvlJc w:val="left"/>
      <w:pPr>
        <w:ind w:left="3589" w:hanging="360"/>
      </w:pPr>
      <w:rPr>
        <w:rFonts w:ascii="Symbol" w:hAnsi="Symbol" w:hint="default"/>
      </w:rPr>
    </w:lvl>
    <w:lvl w:ilvl="4" w:tplc="D7CAD844">
      <w:start w:val="1"/>
      <w:numFmt w:val="bullet"/>
      <w:lvlText w:val="o"/>
      <w:lvlJc w:val="left"/>
      <w:pPr>
        <w:ind w:left="4309" w:hanging="360"/>
      </w:pPr>
      <w:rPr>
        <w:rFonts w:ascii="Courier New" w:hAnsi="Courier New" w:hint="default"/>
      </w:rPr>
    </w:lvl>
    <w:lvl w:ilvl="5" w:tplc="6AEC68BA">
      <w:start w:val="1"/>
      <w:numFmt w:val="bullet"/>
      <w:lvlText w:val=""/>
      <w:lvlJc w:val="left"/>
      <w:pPr>
        <w:ind w:left="5029" w:hanging="360"/>
      </w:pPr>
      <w:rPr>
        <w:rFonts w:ascii="Wingdings" w:hAnsi="Wingdings" w:hint="default"/>
      </w:rPr>
    </w:lvl>
    <w:lvl w:ilvl="6" w:tplc="2C1C8D8C">
      <w:start w:val="1"/>
      <w:numFmt w:val="bullet"/>
      <w:lvlText w:val=""/>
      <w:lvlJc w:val="left"/>
      <w:pPr>
        <w:ind w:left="5749" w:hanging="360"/>
      </w:pPr>
      <w:rPr>
        <w:rFonts w:ascii="Symbol" w:hAnsi="Symbol" w:hint="default"/>
      </w:rPr>
    </w:lvl>
    <w:lvl w:ilvl="7" w:tplc="A89606E8">
      <w:start w:val="1"/>
      <w:numFmt w:val="bullet"/>
      <w:lvlText w:val="o"/>
      <w:lvlJc w:val="left"/>
      <w:pPr>
        <w:ind w:left="6469" w:hanging="360"/>
      </w:pPr>
      <w:rPr>
        <w:rFonts w:ascii="Courier New" w:hAnsi="Courier New" w:hint="default"/>
      </w:rPr>
    </w:lvl>
    <w:lvl w:ilvl="8" w:tplc="33B64E78">
      <w:start w:val="1"/>
      <w:numFmt w:val="bullet"/>
      <w:lvlText w:val=""/>
      <w:lvlJc w:val="left"/>
      <w:pPr>
        <w:ind w:left="7189" w:hanging="360"/>
      </w:pPr>
      <w:rPr>
        <w:rFonts w:ascii="Wingdings" w:hAnsi="Wingdings" w:hint="default"/>
      </w:rPr>
    </w:lvl>
  </w:abstractNum>
  <w:abstractNum w:abstractNumId="7">
    <w:nsid w:val="56111C32"/>
    <w:multiLevelType w:val="hybridMultilevel"/>
    <w:tmpl w:val="E288153A"/>
    <w:lvl w:ilvl="0" w:tplc="96C44234">
      <w:start w:val="1"/>
      <w:numFmt w:val="bullet"/>
      <w:lvlText w:val="-"/>
      <w:lvlJc w:val="left"/>
      <w:pPr>
        <w:ind w:left="1494" w:hanging="360"/>
      </w:pPr>
      <w:rPr>
        <w:rFonts w:hint="default"/>
      </w:rPr>
    </w:lvl>
    <w:lvl w:ilvl="1" w:tplc="04190019">
      <w:start w:val="1"/>
      <w:numFmt w:val="bullet"/>
      <w:lvlText w:val="o"/>
      <w:lvlJc w:val="left"/>
      <w:pPr>
        <w:ind w:left="2214" w:hanging="360"/>
      </w:pPr>
      <w:rPr>
        <w:rFonts w:ascii="Courier New" w:hAnsi="Courier New" w:hint="default"/>
      </w:rPr>
    </w:lvl>
    <w:lvl w:ilvl="2" w:tplc="0419001B">
      <w:start w:val="1"/>
      <w:numFmt w:val="bullet"/>
      <w:lvlText w:val=""/>
      <w:lvlJc w:val="left"/>
      <w:pPr>
        <w:ind w:left="2934" w:hanging="360"/>
      </w:pPr>
      <w:rPr>
        <w:rFonts w:ascii="Wingdings" w:hAnsi="Wingdings" w:hint="default"/>
      </w:rPr>
    </w:lvl>
    <w:lvl w:ilvl="3" w:tplc="0419000F">
      <w:start w:val="1"/>
      <w:numFmt w:val="bullet"/>
      <w:lvlText w:val=""/>
      <w:lvlJc w:val="left"/>
      <w:pPr>
        <w:ind w:left="3654" w:hanging="360"/>
      </w:pPr>
      <w:rPr>
        <w:rFonts w:ascii="Symbol" w:hAnsi="Symbol" w:hint="default"/>
      </w:rPr>
    </w:lvl>
    <w:lvl w:ilvl="4" w:tplc="04190019">
      <w:start w:val="1"/>
      <w:numFmt w:val="bullet"/>
      <w:lvlText w:val="o"/>
      <w:lvlJc w:val="left"/>
      <w:pPr>
        <w:ind w:left="4374" w:hanging="360"/>
      </w:pPr>
      <w:rPr>
        <w:rFonts w:ascii="Courier New" w:hAnsi="Courier New" w:hint="default"/>
      </w:rPr>
    </w:lvl>
    <w:lvl w:ilvl="5" w:tplc="0419001B">
      <w:start w:val="1"/>
      <w:numFmt w:val="bullet"/>
      <w:lvlText w:val=""/>
      <w:lvlJc w:val="left"/>
      <w:pPr>
        <w:ind w:left="5094" w:hanging="360"/>
      </w:pPr>
      <w:rPr>
        <w:rFonts w:ascii="Wingdings" w:hAnsi="Wingdings" w:hint="default"/>
      </w:rPr>
    </w:lvl>
    <w:lvl w:ilvl="6" w:tplc="0419000F">
      <w:start w:val="1"/>
      <w:numFmt w:val="bullet"/>
      <w:lvlText w:val=""/>
      <w:lvlJc w:val="left"/>
      <w:pPr>
        <w:ind w:left="5814" w:hanging="360"/>
      </w:pPr>
      <w:rPr>
        <w:rFonts w:ascii="Symbol" w:hAnsi="Symbol" w:hint="default"/>
      </w:rPr>
    </w:lvl>
    <w:lvl w:ilvl="7" w:tplc="04190019">
      <w:start w:val="1"/>
      <w:numFmt w:val="bullet"/>
      <w:lvlText w:val="o"/>
      <w:lvlJc w:val="left"/>
      <w:pPr>
        <w:ind w:left="6534" w:hanging="360"/>
      </w:pPr>
      <w:rPr>
        <w:rFonts w:ascii="Courier New" w:hAnsi="Courier New" w:hint="default"/>
      </w:rPr>
    </w:lvl>
    <w:lvl w:ilvl="8" w:tplc="0419001B">
      <w:start w:val="1"/>
      <w:numFmt w:val="bullet"/>
      <w:lvlText w:val=""/>
      <w:lvlJc w:val="left"/>
      <w:pPr>
        <w:ind w:left="7254" w:hanging="360"/>
      </w:pPr>
      <w:rPr>
        <w:rFonts w:ascii="Wingdings" w:hAnsi="Wingdings" w:hint="default"/>
      </w:rPr>
    </w:lvl>
  </w:abstractNum>
  <w:abstractNum w:abstractNumId="8">
    <w:nsid w:val="56C756EE"/>
    <w:multiLevelType w:val="hybridMultilevel"/>
    <w:tmpl w:val="47B2D44A"/>
    <w:lvl w:ilvl="0" w:tplc="21FE7AA0">
      <w:start w:val="1"/>
      <w:numFmt w:val="bullet"/>
      <w:lvlText w:val="­"/>
      <w:lvlJc w:val="left"/>
      <w:pPr>
        <w:ind w:left="1429" w:hanging="360"/>
      </w:pPr>
      <w:rPr>
        <w:rFonts w:ascii="Courier New" w:hAnsi="Courier New"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591C4BB4"/>
    <w:multiLevelType w:val="hybridMultilevel"/>
    <w:tmpl w:val="D9C03A46"/>
    <w:lvl w:ilvl="0" w:tplc="95D8FCC0">
      <w:start w:val="1"/>
      <w:numFmt w:val="bullet"/>
      <w:lvlText w:val="-"/>
      <w:lvlJc w:val="left"/>
      <w:pPr>
        <w:ind w:left="1494" w:hanging="360"/>
      </w:pPr>
      <w:rPr>
        <w:rFonts w:hint="default"/>
      </w:rPr>
    </w:lvl>
    <w:lvl w:ilvl="1" w:tplc="04190003">
      <w:start w:val="1"/>
      <w:numFmt w:val="bullet"/>
      <w:lvlText w:val="o"/>
      <w:lvlJc w:val="left"/>
      <w:pPr>
        <w:ind w:left="2214" w:hanging="360"/>
      </w:pPr>
      <w:rPr>
        <w:rFonts w:ascii="Courier New" w:hAnsi="Courier New" w:hint="default"/>
      </w:rPr>
    </w:lvl>
    <w:lvl w:ilvl="2" w:tplc="04190005">
      <w:start w:val="1"/>
      <w:numFmt w:val="bullet"/>
      <w:lvlText w:val=""/>
      <w:lvlJc w:val="left"/>
      <w:pPr>
        <w:ind w:left="2934" w:hanging="360"/>
      </w:pPr>
      <w:rPr>
        <w:rFonts w:ascii="Wingdings" w:hAnsi="Wingdings" w:hint="default"/>
      </w:rPr>
    </w:lvl>
    <w:lvl w:ilvl="3" w:tplc="04190001">
      <w:start w:val="1"/>
      <w:numFmt w:val="bullet"/>
      <w:lvlText w:val=""/>
      <w:lvlJc w:val="left"/>
      <w:pPr>
        <w:ind w:left="3654" w:hanging="360"/>
      </w:pPr>
      <w:rPr>
        <w:rFonts w:ascii="Symbol" w:hAnsi="Symbol" w:hint="default"/>
      </w:rPr>
    </w:lvl>
    <w:lvl w:ilvl="4" w:tplc="04190003">
      <w:start w:val="1"/>
      <w:numFmt w:val="bullet"/>
      <w:lvlText w:val="o"/>
      <w:lvlJc w:val="left"/>
      <w:pPr>
        <w:ind w:left="4374" w:hanging="360"/>
      </w:pPr>
      <w:rPr>
        <w:rFonts w:ascii="Courier New" w:hAnsi="Courier New" w:hint="default"/>
      </w:rPr>
    </w:lvl>
    <w:lvl w:ilvl="5" w:tplc="04190005">
      <w:start w:val="1"/>
      <w:numFmt w:val="bullet"/>
      <w:lvlText w:val=""/>
      <w:lvlJc w:val="left"/>
      <w:pPr>
        <w:ind w:left="5094" w:hanging="360"/>
      </w:pPr>
      <w:rPr>
        <w:rFonts w:ascii="Wingdings" w:hAnsi="Wingdings" w:hint="default"/>
      </w:rPr>
    </w:lvl>
    <w:lvl w:ilvl="6" w:tplc="04190001">
      <w:start w:val="1"/>
      <w:numFmt w:val="bullet"/>
      <w:lvlText w:val=""/>
      <w:lvlJc w:val="left"/>
      <w:pPr>
        <w:ind w:left="5814" w:hanging="360"/>
      </w:pPr>
      <w:rPr>
        <w:rFonts w:ascii="Symbol" w:hAnsi="Symbol" w:hint="default"/>
      </w:rPr>
    </w:lvl>
    <w:lvl w:ilvl="7" w:tplc="04190003">
      <w:start w:val="1"/>
      <w:numFmt w:val="bullet"/>
      <w:lvlText w:val="o"/>
      <w:lvlJc w:val="left"/>
      <w:pPr>
        <w:ind w:left="6534" w:hanging="360"/>
      </w:pPr>
      <w:rPr>
        <w:rFonts w:ascii="Courier New" w:hAnsi="Courier New" w:hint="default"/>
      </w:rPr>
    </w:lvl>
    <w:lvl w:ilvl="8" w:tplc="04190005">
      <w:start w:val="1"/>
      <w:numFmt w:val="bullet"/>
      <w:lvlText w:val=""/>
      <w:lvlJc w:val="left"/>
      <w:pPr>
        <w:ind w:left="7254" w:hanging="360"/>
      </w:pPr>
      <w:rPr>
        <w:rFonts w:ascii="Wingdings" w:hAnsi="Wingdings" w:hint="default"/>
      </w:rPr>
    </w:lvl>
  </w:abstractNum>
  <w:abstractNum w:abstractNumId="10">
    <w:nsid w:val="751C7D7E"/>
    <w:multiLevelType w:val="hybridMultilevel"/>
    <w:tmpl w:val="5EA8C6AE"/>
    <w:lvl w:ilvl="0" w:tplc="7F4877DA">
      <w:start w:val="1"/>
      <w:numFmt w:val="decimal"/>
      <w:lvlText w:val="%1."/>
      <w:lvlJc w:val="left"/>
      <w:pPr>
        <w:ind w:left="1495" w:hanging="360"/>
      </w:pPr>
      <w:rPr>
        <w:rFonts w:ascii="Times New Roman" w:eastAsia="Calibri" w:hAnsi="Times New Roman" w:cs="Times New Roman"/>
      </w:rPr>
    </w:lvl>
    <w:lvl w:ilvl="1" w:tplc="04190019">
      <w:start w:val="1"/>
      <w:numFmt w:val="lowerLetter"/>
      <w:lvlText w:val="%2."/>
      <w:lvlJc w:val="left"/>
      <w:pPr>
        <w:ind w:left="2215" w:hanging="360"/>
      </w:pPr>
      <w:rPr>
        <w:rFonts w:cs="Times New Roman"/>
      </w:rPr>
    </w:lvl>
    <w:lvl w:ilvl="2" w:tplc="0419001B">
      <w:start w:val="1"/>
      <w:numFmt w:val="lowerRoman"/>
      <w:lvlText w:val="%3."/>
      <w:lvlJc w:val="right"/>
      <w:pPr>
        <w:ind w:left="2935" w:hanging="180"/>
      </w:pPr>
      <w:rPr>
        <w:rFonts w:cs="Times New Roman"/>
      </w:rPr>
    </w:lvl>
    <w:lvl w:ilvl="3" w:tplc="0419000F">
      <w:start w:val="1"/>
      <w:numFmt w:val="decimal"/>
      <w:lvlText w:val="%4."/>
      <w:lvlJc w:val="left"/>
      <w:pPr>
        <w:ind w:left="3655" w:hanging="360"/>
      </w:pPr>
      <w:rPr>
        <w:rFonts w:cs="Times New Roman"/>
      </w:rPr>
    </w:lvl>
    <w:lvl w:ilvl="4" w:tplc="04190019">
      <w:start w:val="1"/>
      <w:numFmt w:val="lowerLetter"/>
      <w:lvlText w:val="%5."/>
      <w:lvlJc w:val="left"/>
      <w:pPr>
        <w:ind w:left="4375" w:hanging="360"/>
      </w:pPr>
      <w:rPr>
        <w:rFonts w:cs="Times New Roman"/>
      </w:rPr>
    </w:lvl>
    <w:lvl w:ilvl="5" w:tplc="0419001B">
      <w:start w:val="1"/>
      <w:numFmt w:val="lowerRoman"/>
      <w:lvlText w:val="%6."/>
      <w:lvlJc w:val="right"/>
      <w:pPr>
        <w:ind w:left="5095" w:hanging="180"/>
      </w:pPr>
      <w:rPr>
        <w:rFonts w:cs="Times New Roman"/>
      </w:rPr>
    </w:lvl>
    <w:lvl w:ilvl="6" w:tplc="0419000F">
      <w:start w:val="1"/>
      <w:numFmt w:val="decimal"/>
      <w:lvlText w:val="%7."/>
      <w:lvlJc w:val="left"/>
      <w:pPr>
        <w:ind w:left="5815" w:hanging="360"/>
      </w:pPr>
      <w:rPr>
        <w:rFonts w:cs="Times New Roman"/>
      </w:rPr>
    </w:lvl>
    <w:lvl w:ilvl="7" w:tplc="04190019">
      <w:start w:val="1"/>
      <w:numFmt w:val="lowerLetter"/>
      <w:lvlText w:val="%8."/>
      <w:lvlJc w:val="left"/>
      <w:pPr>
        <w:ind w:left="6535" w:hanging="360"/>
      </w:pPr>
      <w:rPr>
        <w:rFonts w:cs="Times New Roman"/>
      </w:rPr>
    </w:lvl>
    <w:lvl w:ilvl="8" w:tplc="0419001B">
      <w:start w:val="1"/>
      <w:numFmt w:val="lowerRoman"/>
      <w:lvlText w:val="%9."/>
      <w:lvlJc w:val="right"/>
      <w:pPr>
        <w:ind w:left="7255" w:hanging="180"/>
      </w:pPr>
      <w:rPr>
        <w:rFonts w:cs="Times New Roman"/>
      </w:rPr>
    </w:lvl>
  </w:abstractNum>
  <w:num w:numId="1">
    <w:abstractNumId w:val="7"/>
  </w:num>
  <w:num w:numId="2">
    <w:abstractNumId w:val="9"/>
  </w:num>
  <w:num w:numId="3">
    <w:abstractNumId w:val="1"/>
  </w:num>
  <w:num w:numId="4">
    <w:abstractNumId w:val="6"/>
  </w:num>
  <w:num w:numId="5">
    <w:abstractNumId w:val="8"/>
  </w:num>
  <w:num w:numId="6">
    <w:abstractNumId w:val="4"/>
  </w:num>
  <w:num w:numId="7">
    <w:abstractNumId w:val="5"/>
  </w:num>
  <w:num w:numId="8">
    <w:abstractNumId w:val="10"/>
  </w:num>
  <w:num w:numId="9">
    <w:abstractNumId w:val="3"/>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E00"/>
    <w:rsid w:val="003D32B7"/>
    <w:rsid w:val="00484EEA"/>
    <w:rsid w:val="0093687E"/>
    <w:rsid w:val="00DD7C1B"/>
    <w:rsid w:val="00EF5E00"/>
    <w:rsid w:val="00FF15B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3"/>
    <o:shapelayout v:ext="edit">
      <o:idmap v:ext="edit" data="1"/>
    </o:shapelayout>
  </w:shapeDefaults>
  <w:decimalSymbol w:val=","/>
  <w:listSeparator w:val=";"/>
  <w14:docId w14:val="03DD92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Lucida Grande CY"/>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Lucida Grande CY"/>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wmf"/><Relationship Id="rId7" Type="http://schemas.openxmlformats.org/officeDocument/2006/relationships/oleObject" Target="embeddings/________________Microsoft_Equation1.bin"/><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27</Pages>
  <Words>6377</Words>
  <Characters>36354</Characters>
  <Application>Microsoft Macintosh Word</Application>
  <DocSecurity>0</DocSecurity>
  <Lines>302</Lines>
  <Paragraphs>85</Paragraphs>
  <ScaleCrop>false</ScaleCrop>
  <Company>-</Company>
  <LinksUpToDate>false</LinksUpToDate>
  <CharactersWithSpaces>42646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Шерстяков</dc:creator>
  <cp:keywords/>
  <dc:description/>
  <cp:lastModifiedBy>Алексей Шерстяков</cp:lastModifiedBy>
  <cp:revision>2</cp:revision>
  <dcterms:created xsi:type="dcterms:W3CDTF">2020-04-29T05:06:00Z</dcterms:created>
  <dcterms:modified xsi:type="dcterms:W3CDTF">2020-04-29T06:11:00Z</dcterms:modified>
</cp:coreProperties>
</file>